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 </w:t>
      </w:r>
    </w:p>
    <w:p>
      <w:pPr>
        <w:pStyle w:val="Normal"/>
        <w:rPr>
          <w:b/>
          <w:sz w:val="28"/>
          <w:szCs w:val="28"/>
        </w:rPr>
      </w:pPr>
      <w:r>
        <w:rPr>
          <w:b/>
          <w:sz w:val="28"/>
          <w:szCs w:val="28"/>
        </w:rPr>
        <w:t>Professioneel statuut Psychotherapiepraktijk De Nieuwe Weg (PDNW)</w:t>
      </w:r>
    </w:p>
    <w:p>
      <w:pPr>
        <w:pStyle w:val="Normal"/>
        <w:rPr>
          <w:sz w:val="28"/>
          <w:szCs w:val="28"/>
        </w:rPr>
      </w:pPr>
      <w:r>
        <w:rPr>
          <w:sz w:val="28"/>
          <w:szCs w:val="28"/>
        </w:rPr>
      </w:r>
    </w:p>
    <w:p>
      <w:pPr>
        <w:pStyle w:val="Normal"/>
        <w:tabs>
          <w:tab w:val="clear" w:pos="708"/>
          <w:tab w:val="left" w:pos="4530" w:leader="none"/>
        </w:tabs>
        <w:rPr/>
      </w:pPr>
      <w:r>
        <w:rPr/>
        <w:t>Datum: Mei 2026</w:t>
      </w:r>
    </w:p>
    <w:p>
      <w:pPr>
        <w:pStyle w:val="Normal"/>
        <w:tabs>
          <w:tab w:val="clear" w:pos="708"/>
          <w:tab w:val="left" w:pos="4530" w:leader="none"/>
        </w:tabs>
        <w:rPr>
          <w:b/>
          <w:bCs/>
          <w:color w:val="2E5395"/>
          <w:sz w:val="25"/>
          <w:szCs w:val="25"/>
        </w:rPr>
      </w:pPr>
      <w:r>
        <w:rPr>
          <w:b/>
          <w:bCs/>
          <w:color w:val="2E5395"/>
          <w:sz w:val="25"/>
          <w:szCs w:val="25"/>
        </w:rPr>
      </w:r>
    </w:p>
    <w:p>
      <w:pPr>
        <w:pStyle w:val="Normal"/>
        <w:tabs>
          <w:tab w:val="clear" w:pos="708"/>
          <w:tab w:val="left" w:pos="4530" w:leader="none"/>
        </w:tabs>
        <w:rPr>
          <w:b/>
          <w:bCs/>
          <w:color w:val="2E5395"/>
          <w:sz w:val="25"/>
          <w:szCs w:val="25"/>
        </w:rPr>
      </w:pPr>
      <w:r>
        <w:rPr>
          <w:b/>
          <w:bCs/>
          <w:color w:val="2E5395"/>
          <w:sz w:val="25"/>
          <w:szCs w:val="25"/>
        </w:rPr>
        <w:t>1. Inleiding</w:t>
      </w:r>
    </w:p>
    <w:p>
      <w:pPr>
        <w:pStyle w:val="Normal"/>
        <w:spacing w:before="90" w:after="90"/>
        <w:rPr>
          <w:sz w:val="21"/>
          <w:szCs w:val="21"/>
        </w:rPr>
      </w:pPr>
      <w:r>
        <w:rPr>
          <w:sz w:val="21"/>
          <w:szCs w:val="21"/>
        </w:rPr>
        <w:t>Praktijk De Nieuwe Weg (PDNW) biedt hoogwaardige poliklinische, multidisciplinaire behandeling aan volwassenen (18–70 jaar) uit de regio Haarlemmermeer, zowel voor eenvoudige als complexe problematiek. Cliënten kunnen bij de praktijk terecht voor onder andere identiteits- en persoonlijkheidsproblematiek, angststoornissen, stemmingsstoornissen en traumagerelateerde problematiek. PDNW biedt tevens groepstherapie: een MBT-groep, twee mannengroepen, een mindfulnessgroep, een jongvolwassenengroep en een groep die mindfulness en MBT combineert (M-MBT). Meer informatie staat op de website. Als onderdeel van de behandeling kan e-health worden ingezet (modules van Embloom).</w:t>
      </w:r>
    </w:p>
    <w:p>
      <w:pPr>
        <w:pStyle w:val="Normal"/>
        <w:spacing w:before="90" w:after="90"/>
        <w:rPr>
          <w:sz w:val="21"/>
          <w:szCs w:val="21"/>
        </w:rPr>
      </w:pPr>
      <w:r>
        <w:rPr>
          <w:sz w:val="21"/>
          <w:szCs w:val="21"/>
        </w:rPr>
        <w:t>PDNW onderhoudt nauw contact met huisartsen, POH-GGZ en andere GGZ-instellingen over onder meer verwijzingscriteria en beloop van de behandeling.</w:t>
      </w:r>
    </w:p>
    <w:p>
      <w:pPr>
        <w:pStyle w:val="Normal"/>
        <w:spacing w:before="90" w:after="90"/>
        <w:rPr>
          <w:sz w:val="21"/>
          <w:szCs w:val="21"/>
        </w:rPr>
      </w:pPr>
      <w:r>
        <w:rPr>
          <w:sz w:val="21"/>
          <w:szCs w:val="21"/>
        </w:rPr>
        <w:t>PDNW biedt geen behandeling voor: crisisgevoelige cliënten, cliënten waarbij klinische opname noodzakelijk of waarschijnlijk is, en zeer specialistische behandelingen (bijvoorbeeld ASS, verslaving, ernstige psychiatrische aandoeningen). Indien tijdens intake of behandeling blijkt dat de gevraagde zorg niet binnen de praktijk past, zorgt de behandelaar in overleg met de cliënt voor passende vervolgstappen, zoals een doorverwijzing.</w:t>
      </w:r>
    </w:p>
    <w:p>
      <w:pPr>
        <w:pStyle w:val="Normal"/>
        <w:spacing w:before="90" w:after="90"/>
        <w:rPr>
          <w:sz w:val="21"/>
          <w:szCs w:val="21"/>
        </w:rPr>
      </w:pPr>
      <w:r>
        <w:rPr>
          <w:sz w:val="21"/>
          <w:szCs w:val="21"/>
        </w:rPr>
        <w:t>PDNW is formeel een kleine instelling. Dat brengt onder meer met zich mee dat de zorgprocessen en verantwoordelijkheden van de behandelaren worden beschreven in een professioneel statuut.</w:t>
      </w:r>
    </w:p>
    <w:p>
      <w:pPr>
        <w:pStyle w:val="Normal"/>
        <w:spacing w:before="90" w:after="90"/>
        <w:rPr>
          <w:sz w:val="21"/>
          <w:szCs w:val="21"/>
        </w:rPr>
      </w:pPr>
      <w:r>
        <w:rPr>
          <w:sz w:val="21"/>
          <w:szCs w:val="21"/>
        </w:rPr>
        <w:t>Doel van het behandelaanbod is het diagnosticeren, behandelen en begeleiden van mensen met (ernstige) psychische klachten, problemen en psychiatrische stoornissen. De geboden zorg is doelmatig, patiëntgericht, deskundig en effectief, zoveel mogelijk evidence based en best practice, en gebaseerd op de principes van community care en stepped care. Over inhoud en kwaliteit van zorg wordt verantwoording afgelegd aan de patiënt, de directie, de overheid en andere daartoe aangewezen partijen (externe toezichthouders, zorgverzekeraar, gemeente).</w:t>
      </w:r>
    </w:p>
    <w:p>
      <w:pPr>
        <w:pStyle w:val="Normal"/>
        <w:spacing w:before="90" w:after="90"/>
        <w:rPr>
          <w:sz w:val="21"/>
          <w:szCs w:val="21"/>
        </w:rPr>
      </w:pPr>
      <w:r>
        <w:rPr>
          <w:sz w:val="21"/>
          <w:szCs w:val="21"/>
        </w:rPr>
        <w:t>Verantwoordelijkheden, rechten en plichten en de handelingsvrijheid van professionals worden extern begrensd door wet- en regelgeving, beroepscodes en richtlijnen, en intern door protocollen, voorschriften, regels en werkafspraken. De instellingskaders mogen niet in strijd zijn met wet- en regelgeving of met de beroepscodes en richtlijnen.</w:t>
      </w:r>
    </w:p>
    <w:p>
      <w:pPr>
        <w:pStyle w:val="Normal"/>
        <w:spacing w:before="90" w:after="90"/>
        <w:rPr>
          <w:sz w:val="21"/>
          <w:szCs w:val="21"/>
        </w:rPr>
      </w:pPr>
      <w:r>
        <w:rPr>
          <w:sz w:val="21"/>
          <w:szCs w:val="21"/>
        </w:rPr>
        <w:t>Sinds 1 januari 2022 wordt gewerkt binnen het Zorgprestatiemodel (ZPM), een model voor prestatiebekostiging dat de basis-ggz en de dbc's heeft vervangen. Binnen het ZPM kent PDNW een aanbod in de zorgvraagtypen passend bij laag- tot hoogcomplexe problematiek, met dien verstande dat hoogcomplexe situaties waarbij opname noodzakelijk is buiten het aanbod van PDNW vallen (zie uitsluitingscriteria).</w:t>
      </w:r>
    </w:p>
    <w:p>
      <w:pPr>
        <w:pStyle w:val="Heading3"/>
        <w:spacing w:before="160" w:after="80"/>
        <w:ind w:hanging="0" w:left="0"/>
        <w:rPr>
          <w:b/>
          <w:bCs/>
          <w:color w:val="2E5395"/>
          <w:sz w:val="22"/>
          <w:szCs w:val="22"/>
        </w:rPr>
      </w:pPr>
      <w:r>
        <w:rPr>
          <w:b/>
          <w:bCs/>
          <w:color w:val="2E5395"/>
          <w:sz w:val="22"/>
          <w:szCs w:val="22"/>
        </w:rPr>
        <w:t>Juridische grondslag van dit statuut</w:t>
      </w:r>
    </w:p>
    <w:p>
      <w:pPr>
        <w:pStyle w:val="Normal"/>
        <w:spacing w:before="90" w:after="90"/>
        <w:rPr>
          <w:sz w:val="21"/>
          <w:szCs w:val="21"/>
        </w:rPr>
      </w:pPr>
      <w:r>
        <w:rPr>
          <w:sz w:val="21"/>
          <w:szCs w:val="21"/>
        </w:rPr>
        <w:t>Dit professioneel statuut is gebaseerd op de relevante wettelijke voorschriften die in de gezondheidszorg van kracht zijn, waaronder:</w:t>
      </w:r>
    </w:p>
    <w:p>
      <w:pPr>
        <w:pStyle w:val="ListParagraph"/>
        <w:numPr>
          <w:ilvl w:val="0"/>
          <w:numId w:val="4"/>
        </w:numPr>
        <w:spacing w:before="30" w:after="30"/>
        <w:contextualSpacing w:val="false"/>
        <w:rPr>
          <w:sz w:val="21"/>
          <w:szCs w:val="21"/>
        </w:rPr>
      </w:pPr>
      <w:r>
        <w:rPr>
          <w:sz w:val="21"/>
          <w:szCs w:val="21"/>
        </w:rPr>
        <w:t>Wet kwaliteit, klachten en geschillen zorg (Wkkgz) — kwaliteits-, klachten- en meldingsverplichtingen (vervangt de oude Kwaliteitswet Zorginstellingen).</w:t>
      </w:r>
    </w:p>
    <w:p>
      <w:pPr>
        <w:pStyle w:val="ListParagraph"/>
        <w:numPr>
          <w:ilvl w:val="0"/>
          <w:numId w:val="5"/>
        </w:numPr>
        <w:spacing w:before="30" w:after="30"/>
        <w:contextualSpacing w:val="false"/>
        <w:rPr>
          <w:sz w:val="21"/>
          <w:szCs w:val="21"/>
        </w:rPr>
      </w:pPr>
      <w:r>
        <w:rPr>
          <w:sz w:val="21"/>
          <w:szCs w:val="21"/>
        </w:rPr>
        <w:t>Wet toetreding zorgaanbieders (Wtza) — toelating en eisen aan zorgaanbieders (vervangt grotendeels de oude WTZi).</w:t>
      </w:r>
    </w:p>
    <w:p>
      <w:pPr>
        <w:pStyle w:val="ListParagraph"/>
        <w:numPr>
          <w:ilvl w:val="0"/>
          <w:numId w:val="6"/>
        </w:numPr>
        <w:spacing w:before="30" w:after="30"/>
        <w:contextualSpacing w:val="false"/>
        <w:rPr>
          <w:sz w:val="21"/>
          <w:szCs w:val="21"/>
        </w:rPr>
      </w:pPr>
      <w:r>
        <w:rPr>
          <w:sz w:val="21"/>
          <w:szCs w:val="21"/>
        </w:rPr>
        <w:t>Wet op de beroepen in de individuele gezondheidszorg (Wet BIG).</w:t>
      </w:r>
    </w:p>
    <w:p>
      <w:pPr>
        <w:pStyle w:val="ListParagraph"/>
        <w:numPr>
          <w:ilvl w:val="0"/>
          <w:numId w:val="7"/>
        </w:numPr>
        <w:spacing w:before="30" w:after="30"/>
        <w:contextualSpacing w:val="false"/>
        <w:rPr>
          <w:sz w:val="21"/>
          <w:szCs w:val="21"/>
        </w:rPr>
      </w:pPr>
      <w:r>
        <w:rPr>
          <w:sz w:val="21"/>
          <w:szCs w:val="21"/>
        </w:rPr>
        <w:t>Wet verplichte ggz (Wvggz).</w:t>
      </w:r>
    </w:p>
    <w:p>
      <w:pPr>
        <w:pStyle w:val="ListParagraph"/>
        <w:numPr>
          <w:ilvl w:val="0"/>
          <w:numId w:val="8"/>
        </w:numPr>
        <w:spacing w:before="30" w:after="30"/>
        <w:contextualSpacing w:val="false"/>
        <w:rPr>
          <w:sz w:val="21"/>
          <w:szCs w:val="21"/>
        </w:rPr>
      </w:pPr>
      <w:r>
        <w:rPr>
          <w:sz w:val="21"/>
          <w:szCs w:val="21"/>
        </w:rPr>
        <w:t>Wet op de geneeskundige behandelingsovereenkomst (WGBO).</w:t>
      </w:r>
    </w:p>
    <w:p>
      <w:pPr>
        <w:pStyle w:val="ListParagraph"/>
        <w:numPr>
          <w:ilvl w:val="0"/>
          <w:numId w:val="9"/>
        </w:numPr>
        <w:spacing w:before="30" w:after="30"/>
        <w:contextualSpacing w:val="false"/>
        <w:rPr>
          <w:sz w:val="21"/>
          <w:szCs w:val="21"/>
        </w:rPr>
      </w:pPr>
      <w:r>
        <w:rPr>
          <w:sz w:val="21"/>
          <w:szCs w:val="21"/>
        </w:rPr>
        <w:t>Algemene verordening gegevensbescherming (AVG).</w:t>
      </w:r>
    </w:p>
    <w:p>
      <w:pPr>
        <w:pStyle w:val="ListParagraph"/>
        <w:numPr>
          <w:ilvl w:val="0"/>
          <w:numId w:val="10"/>
        </w:numPr>
        <w:spacing w:before="30" w:after="30"/>
        <w:contextualSpacing w:val="false"/>
        <w:rPr>
          <w:sz w:val="21"/>
          <w:szCs w:val="21"/>
        </w:rPr>
      </w:pPr>
      <w:r>
        <w:rPr>
          <w:sz w:val="21"/>
          <w:szCs w:val="21"/>
        </w:rPr>
        <w:t>De besluiten van de Minister van VWS over de verantwoordelijkheden en kwalificatie van de indicerend en coördinerend regiebehandelaar (Landelijk Kwaliteitsstatuut GGZ).</w:t>
      </w:r>
    </w:p>
    <w:p>
      <w:pPr>
        <w:pStyle w:val="Normal"/>
        <w:spacing w:before="90" w:after="90"/>
        <w:rPr>
          <w:sz w:val="21"/>
          <w:szCs w:val="21"/>
        </w:rPr>
      </w:pPr>
      <w:r>
        <w:rPr>
          <w:sz w:val="21"/>
          <w:szCs w:val="21"/>
        </w:rPr>
        <w:t>Voorts wordt dit statuut, indien nodig, jaarlijks aangepast aan de contractuele afspraken van PDNW met de zorgverzekeraars.</w:t>
      </w:r>
    </w:p>
    <w:p>
      <w:pPr>
        <w:pStyle w:val="Normal"/>
        <w:spacing w:before="90" w:after="90"/>
        <w:rPr>
          <w:sz w:val="21"/>
          <w:szCs w:val="21"/>
        </w:rPr>
      </w:pPr>
      <w:r>
        <w:rPr>
          <w:sz w:val="21"/>
          <w:szCs w:val="21"/>
        </w:rPr>
        <w:t>De uitwerking van de verantwoordelijkheids- en taakverdeling op deelterreinen is vastgelegd in de volgende kaderstukken binnen het kwaliteitshandboek, die daar regelmatig worden geactualiseerd:</w:t>
      </w:r>
    </w:p>
    <w:p>
      <w:pPr>
        <w:pStyle w:val="ListParagraph"/>
        <w:numPr>
          <w:ilvl w:val="0"/>
          <w:numId w:val="11"/>
        </w:numPr>
        <w:spacing w:before="30" w:after="30"/>
        <w:contextualSpacing w:val="false"/>
        <w:rPr>
          <w:sz w:val="21"/>
          <w:szCs w:val="21"/>
        </w:rPr>
      </w:pPr>
      <w:r>
        <w:rPr>
          <w:sz w:val="21"/>
          <w:szCs w:val="21"/>
        </w:rPr>
        <w:t>Procedure Incidentmelding PDNW (versie 2.0) — inclusief calamiteitenmelding en IGJ-meldingsafweging.</w:t>
      </w:r>
    </w:p>
    <w:p>
      <w:pPr>
        <w:pStyle w:val="ListParagraph"/>
        <w:numPr>
          <w:ilvl w:val="0"/>
          <w:numId w:val="12"/>
        </w:numPr>
        <w:spacing w:before="30" w:after="30"/>
        <w:contextualSpacing w:val="false"/>
        <w:rPr>
          <w:sz w:val="21"/>
          <w:szCs w:val="21"/>
        </w:rPr>
      </w:pPr>
      <w:r>
        <w:rPr>
          <w:sz w:val="21"/>
          <w:szCs w:val="21"/>
        </w:rPr>
        <w:t>Stappenplan bij een (mogelijke) calamiteit.</w:t>
      </w:r>
    </w:p>
    <w:p>
      <w:pPr>
        <w:pStyle w:val="ListParagraph"/>
        <w:numPr>
          <w:ilvl w:val="0"/>
          <w:numId w:val="13"/>
        </w:numPr>
        <w:spacing w:before="30" w:after="30"/>
        <w:contextualSpacing w:val="false"/>
        <w:rPr>
          <w:sz w:val="21"/>
          <w:szCs w:val="21"/>
        </w:rPr>
      </w:pPr>
      <w:r>
        <w:rPr>
          <w:sz w:val="21"/>
          <w:szCs w:val="21"/>
        </w:rPr>
        <w:t>Suïcidepreventieprotocol PDNW (versie 2.0) — handelen bij suïcidaliteit en na (tentamen) suïcide.</w:t>
      </w:r>
    </w:p>
    <w:p>
      <w:pPr>
        <w:pStyle w:val="ListParagraph"/>
        <w:numPr>
          <w:ilvl w:val="0"/>
          <w:numId w:val="14"/>
        </w:numPr>
        <w:spacing w:before="30" w:after="30"/>
        <w:contextualSpacing w:val="false"/>
        <w:rPr>
          <w:sz w:val="21"/>
          <w:szCs w:val="21"/>
        </w:rPr>
      </w:pPr>
      <w:r>
        <w:rPr>
          <w:sz w:val="21"/>
          <w:szCs w:val="21"/>
        </w:rPr>
        <w:t>Werkwijzen rondom voorbehouden en risicovolle handelingen (farmacotherapie).</w:t>
      </w:r>
    </w:p>
    <w:p>
      <w:pPr>
        <w:pStyle w:val="ListParagraph"/>
        <w:numPr>
          <w:ilvl w:val="0"/>
          <w:numId w:val="15"/>
        </w:numPr>
        <w:spacing w:before="30" w:after="30"/>
        <w:contextualSpacing w:val="false"/>
        <w:rPr>
          <w:sz w:val="21"/>
          <w:szCs w:val="21"/>
        </w:rPr>
      </w:pPr>
      <w:r>
        <w:rPr>
          <w:sz w:val="21"/>
          <w:szCs w:val="21"/>
        </w:rPr>
        <w:t>Dossierbeleid en privacybeleid (AVG / NEN7510).</w:t>
      </w:r>
    </w:p>
    <w:p>
      <w:pPr>
        <w:pStyle w:val="ListParagraph"/>
        <w:numPr>
          <w:ilvl w:val="0"/>
          <w:numId w:val="16"/>
        </w:numPr>
        <w:spacing w:before="30" w:after="30"/>
        <w:contextualSpacing w:val="false"/>
        <w:rPr>
          <w:sz w:val="21"/>
          <w:szCs w:val="21"/>
        </w:rPr>
      </w:pPr>
      <w:r>
        <w:rPr>
          <w:sz w:val="21"/>
          <w:szCs w:val="21"/>
        </w:rPr>
        <w:t>Klachtenregeling.</w:t>
      </w:r>
    </w:p>
    <w:p>
      <w:pPr>
        <w:pStyle w:val="Normal"/>
        <w:spacing w:before="90" w:after="90"/>
        <w:rPr>
          <w:i/>
          <w:i/>
          <w:iCs/>
          <w:sz w:val="21"/>
          <w:szCs w:val="21"/>
        </w:rPr>
      </w:pPr>
      <w:r>
        <w:rPr>
          <w:i/>
          <w:iCs/>
          <w:sz w:val="21"/>
          <w:szCs w:val="21"/>
        </w:rPr>
        <w:t>Omdat PDNW een kleine praktijk is zonder geneesheer-directeur, is een Wvggz-proces niet binnen de praktijk belegd; bij een (dreigende) noodzaak tot verplichte zorg verloopt dit via samenwerking met de regionale crisisdienst (GGZ InGeest / Parnassia).</w:t>
      </w:r>
    </w:p>
    <w:p>
      <w:pPr>
        <w:pStyle w:val="Heading2"/>
        <w:spacing w:before="220" w:after="110"/>
        <w:ind w:hanging="0" w:left="0"/>
        <w:rPr>
          <w:b/>
          <w:bCs/>
          <w:color w:val="2E5395"/>
          <w:sz w:val="25"/>
          <w:szCs w:val="25"/>
        </w:rPr>
      </w:pPr>
      <w:r>
        <w:rPr>
          <w:b/>
          <w:bCs/>
          <w:color w:val="2E5395"/>
          <w:sz w:val="25"/>
          <w:szCs w:val="25"/>
        </w:rPr>
        <w:t>2. Doel van het statuut</w:t>
      </w:r>
    </w:p>
    <w:p>
      <w:pPr>
        <w:pStyle w:val="Normal"/>
        <w:spacing w:before="90" w:after="90"/>
        <w:rPr>
          <w:sz w:val="21"/>
          <w:szCs w:val="21"/>
        </w:rPr>
      </w:pPr>
      <w:r>
        <w:rPr>
          <w:sz w:val="21"/>
          <w:szCs w:val="21"/>
        </w:rPr>
        <w:t>Doel van dit statuut is het aangeven van de kaders waarbinnen de zorg wordt verleend en het vastleggen van de te onderscheiden verantwoordelijkheden, taken en bevoegdheden van professionals — zowel ten opzichte van de instelling als geheel (hoofdstuk 3) als ten opzichte van elkaar binnen het behandelproces (hoofdstuk 4 en 5).</w:t>
      </w:r>
    </w:p>
    <w:p>
      <w:pPr>
        <w:pStyle w:val="Normal"/>
        <w:spacing w:before="90" w:after="90"/>
        <w:rPr>
          <w:sz w:val="21"/>
          <w:szCs w:val="21"/>
        </w:rPr>
      </w:pPr>
      <w:r>
        <w:rPr>
          <w:sz w:val="21"/>
          <w:szCs w:val="21"/>
        </w:rPr>
        <w:t>Binnen dit statuut wordt onderscheid gemaakt tussen disciplines (het deel uitmaken van een bepaalde beroepsgroep) en rollen in het behandelproces. Aan deze rollen zijn specifieke verantwoordelijkheden en bevoegdheden toegekend. Disciplines verschillen in hun bevoegdheid volgens de Wet BIG, de Wvggz en de regelgeving omtrent regiebehandelaarschap. Dit begrenst de mogelijke rollen die een discipline kan vervullen. Dit statuut beschrijft voor PDNW welke disciplines welke rollen kunnen vervullen, met de daaraan gekoppelde bevoegdheden en verantwoordelijkheden.</w:t>
      </w:r>
    </w:p>
    <w:p>
      <w:pPr>
        <w:pStyle w:val="Normal"/>
        <w:spacing w:before="90" w:after="90"/>
        <w:rPr>
          <w:sz w:val="21"/>
          <w:szCs w:val="21"/>
        </w:rPr>
      </w:pPr>
      <w:r>
        <w:rPr>
          <w:sz w:val="21"/>
          <w:szCs w:val="21"/>
        </w:rPr>
        <w:t>Het statuut heeft een algemeen karakter en geldt voor alle binnen PDNW werkzame professionals, ongeacht of zij in loondienst, als vennoot of als zelfstandige (zzp) werkzaam zijn. Het maakt daarmee integraal deel uit van de arbeidsovereenkomst respectievelijk de (model)overeenkomst van opdracht tussen de instelling en de professional. Specifieke taken en functies zijn beschreven in de kwalificatieprofielen van de medewerkers en niet in dit statuut.</w:t>
      </w:r>
    </w:p>
    <w:p>
      <w:pPr>
        <w:pStyle w:val="Heading2"/>
        <w:spacing w:before="220" w:after="110"/>
        <w:ind w:hanging="0" w:left="0"/>
        <w:rPr>
          <w:b/>
          <w:bCs/>
          <w:color w:val="2E5395"/>
          <w:sz w:val="25"/>
          <w:szCs w:val="25"/>
        </w:rPr>
      </w:pPr>
      <w:r>
        <w:rPr>
          <w:b/>
          <w:bCs/>
          <w:color w:val="2E5395"/>
          <w:sz w:val="25"/>
          <w:szCs w:val="25"/>
        </w:rPr>
        <w:t>3. Uitgangspunten en definities</w:t>
      </w:r>
    </w:p>
    <w:p>
      <w:pPr>
        <w:pStyle w:val="Heading3"/>
        <w:spacing w:before="160" w:after="80"/>
        <w:ind w:hanging="0" w:left="0"/>
        <w:rPr>
          <w:b/>
          <w:bCs/>
          <w:color w:val="2E5395"/>
          <w:sz w:val="22"/>
          <w:szCs w:val="22"/>
        </w:rPr>
      </w:pPr>
      <w:r>
        <w:rPr>
          <w:b/>
          <w:bCs/>
          <w:color w:val="2E5395"/>
          <w:sz w:val="22"/>
          <w:szCs w:val="22"/>
        </w:rPr>
        <w:t>3.1 Wettelijke uitgangspunten</w:t>
      </w:r>
    </w:p>
    <w:p>
      <w:pPr>
        <w:pStyle w:val="Normal"/>
        <w:spacing w:before="90" w:after="90"/>
        <w:rPr>
          <w:sz w:val="21"/>
          <w:szCs w:val="21"/>
        </w:rPr>
      </w:pPr>
      <w:r>
        <w:rPr>
          <w:sz w:val="21"/>
          <w:szCs w:val="21"/>
        </w:rPr>
        <w:t>Een deel van de verantwoordelijkheden is vastgelegd in wetten. Daarnaast heeft de Minister van VWS regels gesteld over de taken van de indicerend en coördinerend regiebehandelaar en de disciplines die deze rol kunnen vervullen, om de kwaliteit van de behandeling te waarborgen. Deze wetten en regels vormen samen het juridisch kader. Zorgverzekeraars hebben de contractuele vrijheid om nadere eisen te stellen aan de verdeling van verantwoordelijkheden.</w:t>
      </w:r>
    </w:p>
    <w:p>
      <w:pPr>
        <w:pStyle w:val="Normal"/>
        <w:spacing w:before="90" w:after="90"/>
        <w:rPr>
          <w:b/>
          <w:bCs/>
          <w:sz w:val="21"/>
          <w:szCs w:val="21"/>
        </w:rPr>
      </w:pPr>
      <w:r>
        <w:rPr>
          <w:b/>
          <w:bCs/>
          <w:sz w:val="21"/>
          <w:szCs w:val="21"/>
        </w:rPr>
        <w:t>Wet kwaliteit, klachten en geschillen zorg (Wkkgz)</w:t>
      </w:r>
    </w:p>
    <w:p>
      <w:pPr>
        <w:pStyle w:val="Normal"/>
        <w:spacing w:before="90" w:after="90"/>
        <w:rPr>
          <w:sz w:val="21"/>
          <w:szCs w:val="21"/>
        </w:rPr>
      </w:pPr>
      <w:r>
        <w:rPr>
          <w:sz w:val="21"/>
          <w:szCs w:val="21"/>
        </w:rPr>
        <w:t>Legt aan de zorgaanbieder de verplichting op tot het verlenen van goede zorg en het zodanig organiseren van de zorg dat deze leidt tot verantwoorde zorg. De Wkkgz regelt onder meer de meldplicht van calamiteiten en geweld in de zorgrelatie bij de Inspectie Gezondheidszorg en Jeugd (IGJ), en de klachten- en geschillenregeling. Het toezicht wordt uitgeoefend door de IGJ.</w:t>
      </w:r>
    </w:p>
    <w:p>
      <w:pPr>
        <w:pStyle w:val="Normal"/>
        <w:spacing w:before="90" w:after="90"/>
        <w:rPr>
          <w:b/>
          <w:bCs/>
          <w:sz w:val="21"/>
          <w:szCs w:val="21"/>
        </w:rPr>
      </w:pPr>
      <w:r>
        <w:rPr>
          <w:b/>
          <w:bCs/>
          <w:sz w:val="21"/>
          <w:szCs w:val="21"/>
        </w:rPr>
        <w:t>Wet toetreding zorgaanbieders (Wtza)</w:t>
      </w:r>
    </w:p>
    <w:p>
      <w:pPr>
        <w:pStyle w:val="Normal"/>
        <w:spacing w:before="90" w:after="90"/>
        <w:rPr>
          <w:sz w:val="21"/>
          <w:szCs w:val="21"/>
        </w:rPr>
      </w:pPr>
      <w:r>
        <w:rPr>
          <w:sz w:val="21"/>
          <w:szCs w:val="21"/>
        </w:rPr>
        <w:t>Regelt de toelating van zorgaanbieders en stelt eisen aan de organisatie van de zorg, waaronder eisen aan intern toezicht voor instellingen boven een bepaalde omvang.</w:t>
      </w:r>
    </w:p>
    <w:p>
      <w:pPr>
        <w:pStyle w:val="Normal"/>
        <w:spacing w:before="90" w:after="90"/>
        <w:rPr>
          <w:b/>
          <w:bCs/>
          <w:sz w:val="21"/>
          <w:szCs w:val="21"/>
        </w:rPr>
      </w:pPr>
      <w:r>
        <w:rPr>
          <w:b/>
          <w:bCs/>
          <w:sz w:val="21"/>
          <w:szCs w:val="21"/>
        </w:rPr>
        <w:t>Wet op de geneeskundige behandelingsovereenkomst (WGBO)</w:t>
      </w:r>
    </w:p>
    <w:p>
      <w:pPr>
        <w:pStyle w:val="Normal"/>
        <w:spacing w:before="90" w:after="90"/>
        <w:rPr>
          <w:sz w:val="21"/>
          <w:szCs w:val="21"/>
        </w:rPr>
      </w:pPr>
      <w:r>
        <w:rPr>
          <w:sz w:val="21"/>
          <w:szCs w:val="21"/>
        </w:rPr>
        <w:t>Regelt de rechten van de patiënt met als centraal thema 'de zorg van een goed hulpverlener'. De hulpverlener handelt in overeenstemming met de professionele standaard van de eigen beroepsgroep. Professionele waarden en normen waarborgen de rechten van de patiënt en begrenzen tegelijk de hulpvraag: overvraging hoeft niet te worden gehonoreerd.</w:t>
      </w:r>
    </w:p>
    <w:p>
      <w:pPr>
        <w:pStyle w:val="Normal"/>
        <w:spacing w:before="90" w:after="90"/>
        <w:rPr>
          <w:b/>
          <w:bCs/>
          <w:sz w:val="21"/>
          <w:szCs w:val="21"/>
        </w:rPr>
      </w:pPr>
      <w:r>
        <w:rPr>
          <w:b/>
          <w:bCs/>
          <w:sz w:val="21"/>
          <w:szCs w:val="21"/>
        </w:rPr>
        <w:t>Wet op de beroepen in de individuele gezondheidszorg (Wet BIG)</w:t>
      </w:r>
    </w:p>
    <w:p>
      <w:pPr>
        <w:pStyle w:val="Normal"/>
        <w:spacing w:before="90" w:after="90"/>
        <w:rPr>
          <w:sz w:val="21"/>
          <w:szCs w:val="21"/>
        </w:rPr>
      </w:pPr>
      <w:r>
        <w:rPr>
          <w:sz w:val="21"/>
          <w:szCs w:val="21"/>
        </w:rPr>
        <w:t>Heeft als doel de kwaliteit van de beroepsuitoefening te waarborgen en patiënten te beschermen tegen ondeskundig en onzorgvuldig handelen. De wet geeft titelbescherming en omschrijft deskundigheidsgebieden, en beschrijft voorbehouden handelingen. Een hulpverlener is deskundig als hij een omschreven opleiding met goed gevolg heeft doorlopen, bekwaam als hij de bijbehorende activiteiten regelmatig op kwalitatief goede wijze uitvoert, en bevoegd als deskundigheid en bekwaamheid samenvallen. Onbekwaam is per definitie onbevoegd.</w:t>
      </w:r>
    </w:p>
    <w:p>
      <w:pPr>
        <w:pStyle w:val="Normal"/>
        <w:spacing w:before="90" w:after="90"/>
        <w:rPr>
          <w:b/>
          <w:bCs/>
          <w:sz w:val="21"/>
          <w:szCs w:val="21"/>
        </w:rPr>
      </w:pPr>
      <w:r>
        <w:rPr>
          <w:b/>
          <w:bCs/>
          <w:sz w:val="21"/>
          <w:szCs w:val="21"/>
        </w:rPr>
        <w:t>Geneesmiddelenwet</w:t>
      </w:r>
    </w:p>
    <w:p>
      <w:pPr>
        <w:pStyle w:val="Normal"/>
        <w:spacing w:before="90" w:after="90"/>
        <w:rPr>
          <w:sz w:val="21"/>
          <w:szCs w:val="21"/>
        </w:rPr>
      </w:pPr>
      <w:r>
        <w:rPr>
          <w:sz w:val="21"/>
          <w:szCs w:val="21"/>
        </w:rPr>
        <w:t>Behoudt het voorschrijven van geneesmiddelen voor aan artsen (en, onder specifieke voorwaarden, aan verpleegkundig specialisten). Bij PDNW is de psychiater verantwoordelijk voor de farmacotherapie.</w:t>
      </w:r>
    </w:p>
    <w:p>
      <w:pPr>
        <w:pStyle w:val="Normal"/>
        <w:spacing w:before="90" w:after="90"/>
        <w:rPr>
          <w:b/>
          <w:bCs/>
          <w:sz w:val="21"/>
          <w:szCs w:val="21"/>
        </w:rPr>
      </w:pPr>
      <w:r>
        <w:rPr>
          <w:b/>
          <w:bCs/>
          <w:sz w:val="21"/>
          <w:szCs w:val="21"/>
        </w:rPr>
        <w:t>Algemene verordening gegevensbescherming (AVG)</w:t>
      </w:r>
    </w:p>
    <w:p>
      <w:pPr>
        <w:pStyle w:val="Normal"/>
        <w:spacing w:before="90" w:after="90"/>
        <w:rPr>
          <w:sz w:val="21"/>
          <w:szCs w:val="21"/>
        </w:rPr>
      </w:pPr>
      <w:r>
        <w:rPr>
          <w:sz w:val="21"/>
          <w:szCs w:val="21"/>
        </w:rPr>
        <w:t>Regelt de bescherming van persoonsgegevens. PDNW verwerkt gegevens conform de AVG en de informatiebeveiligingsnorm NEN7510.</w:t>
      </w:r>
    </w:p>
    <w:p>
      <w:pPr>
        <w:pStyle w:val="Heading3"/>
        <w:spacing w:before="160" w:after="80"/>
        <w:ind w:hanging="0" w:left="0"/>
        <w:rPr>
          <w:b/>
          <w:bCs/>
          <w:color w:val="2E5395"/>
          <w:sz w:val="22"/>
          <w:szCs w:val="22"/>
        </w:rPr>
      </w:pPr>
      <w:r>
        <w:rPr>
          <w:b/>
          <w:bCs/>
          <w:color w:val="2E5395"/>
          <w:sz w:val="22"/>
          <w:szCs w:val="22"/>
        </w:rPr>
        <w:t>3.2 Definities</w:t>
      </w:r>
    </w:p>
    <w:p>
      <w:pPr>
        <w:pStyle w:val="Normal"/>
        <w:spacing w:before="60" w:after="60"/>
        <w:rPr/>
      </w:pPr>
      <w:r>
        <w:rPr>
          <w:b/>
          <w:bCs/>
          <w:i/>
          <w:iCs/>
          <w:sz w:val="21"/>
          <w:szCs w:val="21"/>
        </w:rPr>
        <w:t xml:space="preserve">Professional — </w:t>
      </w:r>
      <w:r>
        <w:rPr>
          <w:sz w:val="21"/>
          <w:szCs w:val="21"/>
        </w:rPr>
        <w:t>De hulpverlener die arbeid verricht voor de instelling en beroepsmatig preventie, diagnostiek, behandeling of begeleiding uitvoert ten aanzien van een patiënt. Het betreft alle medewerkers die direct patiëntgebonden werkzaamheden uitvoeren in het primaire proces, ongeacht of zij in loondienst, als vennoot of als zelfstandige werkzaam zijn.</w:t>
      </w:r>
    </w:p>
    <w:p>
      <w:pPr>
        <w:pStyle w:val="Normal"/>
        <w:spacing w:before="60" w:after="60"/>
        <w:rPr/>
      </w:pPr>
      <w:r>
        <w:rPr>
          <w:b/>
          <w:bCs/>
          <w:i/>
          <w:iCs/>
          <w:sz w:val="21"/>
          <w:szCs w:val="21"/>
        </w:rPr>
        <w:t xml:space="preserve">Patiënt — </w:t>
      </w:r>
      <w:r>
        <w:rPr>
          <w:sz w:val="21"/>
          <w:szCs w:val="21"/>
        </w:rPr>
        <w:t>Een ieder die door een erkende verwijzer is aangemeld bij de instelling, door de instelling is geaccepteerd en is ingeschreven. Daarmee bestaat de behandelovereenkomst tussen instelling en patiënt. (Overal waar 'patiënt' staat kan ook 'cliënt' worden gelezen.)</w:t>
      </w:r>
    </w:p>
    <w:p>
      <w:pPr>
        <w:pStyle w:val="Normal"/>
        <w:spacing w:before="60" w:after="60"/>
        <w:rPr/>
      </w:pPr>
      <w:r>
        <w:rPr>
          <w:b/>
          <w:bCs/>
          <w:i/>
          <w:iCs/>
          <w:sz w:val="21"/>
          <w:szCs w:val="21"/>
        </w:rPr>
        <w:t xml:space="preserve">Instelling — </w:t>
      </w:r>
      <w:r>
        <w:rPr>
          <w:sz w:val="21"/>
          <w:szCs w:val="21"/>
        </w:rPr>
        <w:t>PDNW, de op grond van de Wtza toegelaten zorgaanbieder waarvoor de professional arbeid verricht en die aan patiënten zorg verleent op basis van een behandelovereenkomst.</w:t>
      </w:r>
    </w:p>
    <w:p>
      <w:pPr>
        <w:pStyle w:val="Normal"/>
        <w:spacing w:before="60" w:after="60"/>
        <w:rPr/>
      </w:pPr>
      <w:r>
        <w:rPr>
          <w:b/>
          <w:bCs/>
          <w:i/>
          <w:iCs/>
          <w:sz w:val="21"/>
          <w:szCs w:val="21"/>
        </w:rPr>
        <w:t xml:space="preserve">Directie (raad van bestuur) — </w:t>
      </w:r>
      <w:r>
        <w:rPr>
          <w:sz w:val="21"/>
          <w:szCs w:val="21"/>
        </w:rPr>
        <w:t>De personen belast met de algehele leiding van de instelling. Bij PDNW wordt deze rol vervuld door de directie (G. Frings en B. Liebman). Waar in dit statuut 'directie' of 'raad van bestuur' staat, wordt deze leiding bedoeld.</w:t>
      </w:r>
    </w:p>
    <w:p>
      <w:pPr>
        <w:pStyle w:val="Normal"/>
        <w:spacing w:before="60" w:after="60"/>
        <w:rPr/>
      </w:pPr>
      <w:r>
        <w:rPr>
          <w:b/>
          <w:bCs/>
          <w:i/>
          <w:iCs/>
          <w:sz w:val="21"/>
          <w:szCs w:val="21"/>
        </w:rPr>
        <w:t xml:space="preserve">Raad van Toezicht — </w:t>
      </w:r>
      <w:r>
        <w:rPr>
          <w:sz w:val="21"/>
          <w:szCs w:val="21"/>
        </w:rPr>
        <w:t>Het orgaan dat toezicht houdt op het beleid van de directie en op de algemene gang van zaken binnen de instelling.</w:t>
      </w:r>
    </w:p>
    <w:p>
      <w:pPr>
        <w:pStyle w:val="Normal"/>
        <w:spacing w:before="60" w:after="60"/>
        <w:rPr/>
      </w:pPr>
      <w:r>
        <w:rPr>
          <w:b/>
          <w:bCs/>
          <w:i/>
          <w:iCs/>
          <w:sz w:val="21"/>
          <w:szCs w:val="21"/>
        </w:rPr>
        <w:t xml:space="preserve">Professionele autonomie — </w:t>
      </w:r>
      <w:r>
        <w:rPr>
          <w:sz w:val="21"/>
          <w:szCs w:val="21"/>
        </w:rPr>
        <w:t>De bevoegdheid van de beroepsgroep om voor haar eigen deskundigheidsgebied regels, richtlijnen en standaarden vast te stellen voor de juiste uitoefening van het beroep. Anderen mogen niet eisen dat een professional zijn beroep in strijd daarmee uitoefent.</w:t>
      </w:r>
    </w:p>
    <w:p>
      <w:pPr>
        <w:pStyle w:val="Normal"/>
        <w:spacing w:before="60" w:after="60"/>
        <w:rPr/>
      </w:pPr>
      <w:r>
        <w:rPr>
          <w:b/>
          <w:bCs/>
          <w:i/>
          <w:iCs/>
          <w:sz w:val="21"/>
          <w:szCs w:val="21"/>
        </w:rPr>
        <w:t xml:space="preserve">Professionele standaard — </w:t>
      </w:r>
      <w:r>
        <w:rPr>
          <w:sz w:val="21"/>
          <w:szCs w:val="21"/>
        </w:rPr>
        <w:t>Datgene wat binnen de beroepsgroep aanvaard en gebruikelijk is, rekening houdend met de stand van de wetenschap, waaronder het geheel van beroepscodes, richtlijnen, protocollen en wet- en regelgeving.</w:t>
      </w:r>
    </w:p>
    <w:p>
      <w:pPr>
        <w:pStyle w:val="Normal"/>
        <w:spacing w:before="60" w:after="60"/>
        <w:rPr/>
      </w:pPr>
      <w:r>
        <w:rPr>
          <w:b/>
          <w:bCs/>
          <w:i/>
          <w:iCs/>
          <w:sz w:val="21"/>
          <w:szCs w:val="21"/>
        </w:rPr>
        <w:t xml:space="preserve">Behandelovereenkomst — </w:t>
      </w:r>
      <w:r>
        <w:rPr>
          <w:sz w:val="21"/>
          <w:szCs w:val="21"/>
        </w:rPr>
        <w:t>De overeenkomst tussen instelling en patiënt op grond van de WGBO, die bestaat vanaf het moment van aanmelding en inschrijving.</w:t>
      </w:r>
    </w:p>
    <w:p>
      <w:pPr>
        <w:pStyle w:val="Normal"/>
        <w:spacing w:before="60" w:after="60"/>
        <w:rPr/>
      </w:pPr>
      <w:r>
        <w:rPr>
          <w:b/>
          <w:bCs/>
          <w:i/>
          <w:iCs/>
          <w:sz w:val="21"/>
          <w:szCs w:val="21"/>
        </w:rPr>
        <w:t xml:space="preserve">Behandelplan — </w:t>
      </w:r>
      <w:r>
        <w:rPr>
          <w:sz w:val="21"/>
          <w:szCs w:val="21"/>
        </w:rPr>
        <w:t>Het met de patiënt afgesproken individuele plan dat conform de wettelijke eisen beschrijft welke diagnostiek, behandeling en begeleiding de patiënt ontvangt naar aanleiding van de hulpvraag.</w:t>
      </w:r>
    </w:p>
    <w:p>
      <w:pPr>
        <w:pStyle w:val="Normal"/>
        <w:spacing w:before="60" w:after="60"/>
        <w:rPr/>
      </w:pPr>
      <w:r>
        <w:rPr>
          <w:b/>
          <w:bCs/>
          <w:i/>
          <w:iCs/>
          <w:sz w:val="21"/>
          <w:szCs w:val="21"/>
        </w:rPr>
        <w:t xml:space="preserve">Regiebehandelaar — </w:t>
      </w:r>
      <w:r>
        <w:rPr>
          <w:sz w:val="21"/>
          <w:szCs w:val="21"/>
        </w:rPr>
        <w:t>Het Landelijk Kwaliteitsstatuut GGZ kent twee rollen toe aan de regiebehandelaar: de indicerende rol en de coördinerende rol (zie hoofdstuk 5).</w:t>
      </w:r>
    </w:p>
    <w:p>
      <w:pPr>
        <w:pStyle w:val="Normal"/>
        <w:spacing w:before="60" w:after="60"/>
        <w:rPr/>
      </w:pPr>
      <w:r>
        <w:rPr>
          <w:b/>
          <w:bCs/>
          <w:i/>
          <w:iCs/>
          <w:sz w:val="21"/>
          <w:szCs w:val="21"/>
        </w:rPr>
        <w:t xml:space="preserve">Medebehandelaar — </w:t>
      </w:r>
      <w:r>
        <w:rPr>
          <w:sz w:val="21"/>
          <w:szCs w:val="21"/>
        </w:rPr>
        <w:t>De professional die een deel van de door de regiebehandelaar geïndiceerde behandeling uitvoert, onder regie van de regiebehandelaar. De medebehandelaar heeft vanuit zijn professionele autonomie de verantwoordelijkheid voor het door hem uitgevoerde deel van de behandeling.</w:t>
      </w:r>
    </w:p>
    <w:p>
      <w:pPr>
        <w:pStyle w:val="Heading2"/>
        <w:spacing w:before="220" w:after="110"/>
        <w:ind w:hanging="0" w:left="0"/>
        <w:rPr>
          <w:b/>
          <w:bCs/>
          <w:color w:val="2E5395"/>
          <w:sz w:val="25"/>
          <w:szCs w:val="25"/>
        </w:rPr>
      </w:pPr>
      <w:r>
        <w:rPr>
          <w:b/>
          <w:bCs/>
          <w:color w:val="2E5395"/>
          <w:sz w:val="25"/>
          <w:szCs w:val="25"/>
        </w:rPr>
        <w:t>4. Verantwoordelijkheden tussen instelling en professionals</w:t>
      </w:r>
    </w:p>
    <w:p>
      <w:pPr>
        <w:pStyle w:val="Heading3"/>
        <w:spacing w:before="160" w:after="80"/>
        <w:ind w:hanging="0" w:left="0"/>
        <w:rPr>
          <w:b/>
          <w:bCs/>
          <w:color w:val="2E5395"/>
          <w:sz w:val="22"/>
          <w:szCs w:val="22"/>
        </w:rPr>
      </w:pPr>
      <w:r>
        <w:rPr>
          <w:b/>
          <w:bCs/>
          <w:color w:val="2E5395"/>
          <w:sz w:val="22"/>
          <w:szCs w:val="22"/>
        </w:rPr>
        <w:t>4.1 Algemeen</w:t>
      </w:r>
    </w:p>
    <w:p>
      <w:pPr>
        <w:pStyle w:val="Normal"/>
        <w:spacing w:before="90" w:after="90"/>
        <w:rPr>
          <w:sz w:val="21"/>
          <w:szCs w:val="21"/>
        </w:rPr>
      </w:pPr>
      <w:r>
        <w:rPr>
          <w:sz w:val="21"/>
          <w:szCs w:val="21"/>
        </w:rPr>
        <w:t>PDNW is een professionele organisatie voor geestelijke gezondheidszorg. De instelling, en specifiek de directie, is er wettelijk verantwoordelijk en aansprakelijk voor dat de verleende zorg van voldoende kwaliteit is. De directie ziet erop toe dat professionals verantwoorde zorg bieden in overeenstemming met wet- en regelgeving.</w:t>
      </w:r>
    </w:p>
    <w:p>
      <w:pPr>
        <w:pStyle w:val="Normal"/>
        <w:spacing w:before="90" w:after="90"/>
        <w:rPr>
          <w:sz w:val="21"/>
          <w:szCs w:val="21"/>
        </w:rPr>
      </w:pPr>
      <w:r>
        <w:rPr>
          <w:sz w:val="21"/>
          <w:szCs w:val="21"/>
        </w:rPr>
        <w:t>De basis voor de bevoegdheid tot professioneel handelen is de deskundigheid en bekwaamheid van de medewerker. Om als professional te kunnen werken moeten de verantwoordelijkheden, bevoegdheden en onderlinge verhoudingen adequaat geregeld zijn; alleen dan kunnen professionals worden aangesproken op hun handelen. De directie heeft een voorwaardenscheppende verantwoordelijkheid om professionals in staat te stellen verantwoorde zorg te bieden.</w:t>
      </w:r>
    </w:p>
    <w:p>
      <w:pPr>
        <w:pStyle w:val="Heading3"/>
        <w:spacing w:before="160" w:after="80"/>
        <w:ind w:hanging="0" w:left="0"/>
        <w:rPr>
          <w:b/>
          <w:bCs/>
          <w:color w:val="2E5395"/>
          <w:sz w:val="22"/>
          <w:szCs w:val="22"/>
        </w:rPr>
      </w:pPr>
      <w:r>
        <w:rPr>
          <w:b/>
          <w:bCs/>
          <w:color w:val="2E5395"/>
          <w:sz w:val="22"/>
          <w:szCs w:val="22"/>
        </w:rPr>
        <w:t>4.2 Taken van de directie</w:t>
      </w:r>
    </w:p>
    <w:p>
      <w:pPr>
        <w:pStyle w:val="Normal"/>
        <w:spacing w:before="90" w:after="90"/>
        <w:rPr>
          <w:sz w:val="21"/>
          <w:szCs w:val="21"/>
        </w:rPr>
      </w:pPr>
      <w:r>
        <w:rPr>
          <w:sz w:val="21"/>
          <w:szCs w:val="21"/>
        </w:rPr>
        <w:t>De instelling wordt bestuurd door de directie, die verantwoordelijk is voor de kwaliteit van de totale zorg. Om die verantwoordelijkheid te kunnen dragen is de directie bevoegd om procedures en protocollen vast te stellen en aanwijzingen te geven bij de uitvoering van de werkzaamheden. De instelling kent een financieel kader dat grenzen aan de zorgverlening stelt en dat kan nopen tot prioritering. De directie:</w:t>
      </w:r>
    </w:p>
    <w:p>
      <w:pPr>
        <w:pStyle w:val="ListParagraph"/>
        <w:numPr>
          <w:ilvl w:val="0"/>
          <w:numId w:val="17"/>
        </w:numPr>
        <w:spacing w:before="30" w:after="30"/>
        <w:contextualSpacing w:val="false"/>
        <w:rPr>
          <w:sz w:val="21"/>
          <w:szCs w:val="21"/>
        </w:rPr>
      </w:pPr>
      <w:r>
        <w:rPr>
          <w:sz w:val="21"/>
          <w:szCs w:val="21"/>
        </w:rPr>
        <w:t>kan, met inachtneming van dit statuut, regels vaststellen om te bewerkstelligen dat de verleende zorg doelmatig, patiëntgericht, deskundig en effectief is, met respect voor de professionele autonomie;</w:t>
      </w:r>
    </w:p>
    <w:p>
      <w:pPr>
        <w:pStyle w:val="ListParagraph"/>
        <w:numPr>
          <w:ilvl w:val="0"/>
          <w:numId w:val="18"/>
        </w:numPr>
        <w:spacing w:before="30" w:after="30"/>
        <w:contextualSpacing w:val="false"/>
        <w:rPr>
          <w:sz w:val="21"/>
          <w:szCs w:val="21"/>
        </w:rPr>
      </w:pPr>
      <w:r>
        <w:rPr>
          <w:sz w:val="21"/>
          <w:szCs w:val="21"/>
        </w:rPr>
        <w:t>verschaft de professionals, binnen de mogelijkheden van de instelling, de noodzakelijke materiële en personele voorzieningen en organisatorische kaders voor een passende beroepsuitoefening;</w:t>
      </w:r>
    </w:p>
    <w:p>
      <w:pPr>
        <w:pStyle w:val="ListParagraph"/>
        <w:numPr>
          <w:ilvl w:val="0"/>
          <w:numId w:val="19"/>
        </w:numPr>
        <w:spacing w:before="30" w:after="30"/>
        <w:contextualSpacing w:val="false"/>
        <w:rPr>
          <w:sz w:val="21"/>
          <w:szCs w:val="21"/>
        </w:rPr>
      </w:pPr>
      <w:r>
        <w:rPr>
          <w:sz w:val="21"/>
          <w:szCs w:val="21"/>
        </w:rPr>
        <w:t>zorgt voor een zodanige aanwending van middelen dat het leveren van verantwoorde zorg wordt geoptimaliseerd;</w:t>
      </w:r>
    </w:p>
    <w:p>
      <w:pPr>
        <w:pStyle w:val="ListParagraph"/>
        <w:numPr>
          <w:ilvl w:val="0"/>
          <w:numId w:val="20"/>
        </w:numPr>
        <w:spacing w:before="30" w:after="30"/>
        <w:contextualSpacing w:val="false"/>
        <w:rPr>
          <w:sz w:val="21"/>
          <w:szCs w:val="21"/>
        </w:rPr>
      </w:pPr>
      <w:r>
        <w:rPr>
          <w:sz w:val="21"/>
          <w:szCs w:val="21"/>
        </w:rPr>
        <w:t>zorgt voor optimale afstemming van het zorgaanbod op de vraag van patiënten, verwijzers en samenleving, en faciliteert ontwikkeling van zorg volgens de laatste professionele standaard;</w:t>
      </w:r>
    </w:p>
    <w:p>
      <w:pPr>
        <w:pStyle w:val="ListParagraph"/>
        <w:numPr>
          <w:ilvl w:val="0"/>
          <w:numId w:val="21"/>
        </w:numPr>
        <w:spacing w:before="30" w:after="30"/>
        <w:contextualSpacing w:val="false"/>
        <w:rPr>
          <w:sz w:val="21"/>
          <w:szCs w:val="21"/>
        </w:rPr>
      </w:pPr>
      <w:r>
        <w:rPr>
          <w:sz w:val="21"/>
          <w:szCs w:val="21"/>
        </w:rPr>
        <w:t>zorgt voor voldoende en voldoende gekwalificeerd personeel en stelt professionals in staat hun bekwaamheid op peil te houden via bij- en nascholing, ook in het kader van (her)registratie;</w:t>
      </w:r>
    </w:p>
    <w:p>
      <w:pPr>
        <w:pStyle w:val="ListParagraph"/>
        <w:numPr>
          <w:ilvl w:val="0"/>
          <w:numId w:val="22"/>
        </w:numPr>
        <w:spacing w:before="30" w:after="30"/>
        <w:contextualSpacing w:val="false"/>
        <w:rPr>
          <w:sz w:val="21"/>
          <w:szCs w:val="21"/>
        </w:rPr>
      </w:pPr>
      <w:r>
        <w:rPr>
          <w:sz w:val="21"/>
          <w:szCs w:val="21"/>
        </w:rPr>
        <w:t>zorgt voor protocollen voor registratie van persoonsgegevens, dossiervorming en de uitoefening van patiëntenrechten, overeenkomstig de AVG en NEN7510;</w:t>
      </w:r>
    </w:p>
    <w:p>
      <w:pPr>
        <w:pStyle w:val="ListParagraph"/>
        <w:numPr>
          <w:ilvl w:val="0"/>
          <w:numId w:val="23"/>
        </w:numPr>
        <w:spacing w:before="30" w:after="30"/>
        <w:contextualSpacing w:val="false"/>
        <w:rPr>
          <w:sz w:val="21"/>
          <w:szCs w:val="21"/>
        </w:rPr>
      </w:pPr>
      <w:r>
        <w:rPr>
          <w:sz w:val="21"/>
          <w:szCs w:val="21"/>
        </w:rPr>
        <w:t>draagt er zorg voor dat patiëntendossiers worden bewaard conform de geldende wettelijke bepalingen en dat onbevoegden er geen kennis van kunnen nemen;</w:t>
      </w:r>
    </w:p>
    <w:p>
      <w:pPr>
        <w:pStyle w:val="ListParagraph"/>
        <w:numPr>
          <w:ilvl w:val="0"/>
          <w:numId w:val="24"/>
        </w:numPr>
        <w:spacing w:before="30" w:after="30"/>
        <w:contextualSpacing w:val="false"/>
        <w:rPr>
          <w:sz w:val="21"/>
          <w:szCs w:val="21"/>
        </w:rPr>
      </w:pPr>
      <w:r>
        <w:rPr>
          <w:sz w:val="21"/>
          <w:szCs w:val="21"/>
        </w:rPr>
        <w:t>spant zich met de professionals tot het uiterste in om zowel de continuïteit van de zorg als het effectueren van vakantie- en verlofrechten te realiseren;</w:t>
      </w:r>
    </w:p>
    <w:p>
      <w:pPr>
        <w:pStyle w:val="ListParagraph"/>
        <w:numPr>
          <w:ilvl w:val="0"/>
          <w:numId w:val="25"/>
        </w:numPr>
        <w:spacing w:before="30" w:after="30"/>
        <w:contextualSpacing w:val="false"/>
        <w:rPr>
          <w:sz w:val="21"/>
          <w:szCs w:val="21"/>
        </w:rPr>
      </w:pPr>
      <w:r>
        <w:rPr>
          <w:sz w:val="21"/>
          <w:szCs w:val="21"/>
        </w:rPr>
        <w:t>blijft bij afwezigheid van professionals door ziekte, verlof of vakantie verantwoordelijk voor de continuïteit van de zorg voor de patiënt die een behandelovereenkomst met de instelling heeft.</w:t>
      </w:r>
    </w:p>
    <w:p>
      <w:pPr>
        <w:pStyle w:val="Normal"/>
        <w:spacing w:before="90" w:after="90"/>
        <w:rPr>
          <w:i/>
          <w:i/>
          <w:iCs/>
          <w:sz w:val="21"/>
          <w:szCs w:val="21"/>
        </w:rPr>
      </w:pPr>
      <w:r>
        <w:rPr>
          <w:i/>
          <w:iCs/>
          <w:sz w:val="21"/>
          <w:szCs w:val="21"/>
        </w:rPr>
        <w:t>PDNW kent vanwege haar kleine omvang geen aparte portefeuillehouders of een directeur behandelzaken. Waar in landelijke modelstatuten dergelijke functies voorkomen, worden de bijbehorende taken bij PDNW vervuld door de directie, in samenspraak met het multidisciplinair overleg (MDO).</w:t>
      </w:r>
    </w:p>
    <w:p>
      <w:pPr>
        <w:pStyle w:val="Heading3"/>
        <w:spacing w:before="160" w:after="80"/>
        <w:ind w:hanging="0" w:left="0"/>
        <w:rPr>
          <w:b/>
          <w:bCs/>
          <w:color w:val="2E5395"/>
          <w:sz w:val="22"/>
          <w:szCs w:val="22"/>
        </w:rPr>
      </w:pPr>
      <w:r>
        <w:rPr>
          <w:b/>
          <w:bCs/>
          <w:color w:val="2E5395"/>
          <w:sz w:val="22"/>
          <w:szCs w:val="22"/>
        </w:rPr>
        <w:t>4.3 Taken en verantwoordelijkheden van de professional</w:t>
      </w:r>
    </w:p>
    <w:p>
      <w:pPr>
        <w:pStyle w:val="Normal"/>
        <w:spacing w:before="90" w:after="90"/>
        <w:rPr>
          <w:sz w:val="21"/>
          <w:szCs w:val="21"/>
        </w:rPr>
      </w:pPr>
      <w:r>
        <w:rPr>
          <w:sz w:val="21"/>
          <w:szCs w:val="21"/>
        </w:rPr>
        <w:t>De professional voert de met de instelling overeengekomen taken uit conform de geldende procedures en handelt daarbinnen autonoom volgens de voor hem geldende professionele standaard. Professionele autonomie betreft de zelfstandige bevoegdheid van de beroepsgroep — niet van de individuele professional — om regels en normen vast te stellen. Anderen (waaronder directie, patiënt en naasten) mogen niet eisen dat een professional zijn beroep uitoefent in strijd met de vakinhoudelijke richtlijnen en beroepscodes. De professional biedt zorg onder zijn persoonlijke verantwoordelijkheid, vanuit zijn deskundigheid en binnen de grenzen van zijn bekwaamheid.</w:t>
      </w:r>
    </w:p>
    <w:p>
      <w:pPr>
        <w:pStyle w:val="Normal"/>
        <w:spacing w:before="90" w:after="90"/>
        <w:rPr>
          <w:b/>
          <w:bCs/>
          <w:sz w:val="21"/>
          <w:szCs w:val="21"/>
        </w:rPr>
      </w:pPr>
      <w:r>
        <w:rPr>
          <w:b/>
          <w:bCs/>
          <w:sz w:val="21"/>
          <w:szCs w:val="21"/>
        </w:rPr>
        <w:t>Deskundigheid en bekwaamheid — de professional:</w:t>
      </w:r>
    </w:p>
    <w:p>
      <w:pPr>
        <w:pStyle w:val="ListParagraph"/>
        <w:numPr>
          <w:ilvl w:val="0"/>
          <w:numId w:val="26"/>
        </w:numPr>
        <w:spacing w:before="30" w:after="30"/>
        <w:contextualSpacing w:val="false"/>
        <w:rPr>
          <w:sz w:val="21"/>
          <w:szCs w:val="21"/>
        </w:rPr>
      </w:pPr>
      <w:r>
        <w:rPr>
          <w:sz w:val="21"/>
          <w:szCs w:val="21"/>
        </w:rPr>
        <w:t>houdt zijn deskundigheid en bekwaamheid op peil, zodanig dat hij voldoet aan de eisen die in redelijkheid aan hem mogen worden gesteld;</w:t>
      </w:r>
    </w:p>
    <w:p>
      <w:pPr>
        <w:pStyle w:val="ListParagraph"/>
        <w:numPr>
          <w:ilvl w:val="0"/>
          <w:numId w:val="27"/>
        </w:numPr>
        <w:spacing w:before="30" w:after="30"/>
        <w:contextualSpacing w:val="false"/>
        <w:rPr>
          <w:sz w:val="21"/>
          <w:szCs w:val="21"/>
        </w:rPr>
      </w:pPr>
      <w:r>
        <w:rPr>
          <w:sz w:val="21"/>
          <w:szCs w:val="21"/>
        </w:rPr>
        <w:t>zorgt dat hij geregistreerd blijft in het voor hem geldende register als bedoeld in de Wet BIG of een vergelijkbaar erkend register;</w:t>
      </w:r>
    </w:p>
    <w:p>
      <w:pPr>
        <w:pStyle w:val="ListParagraph"/>
        <w:numPr>
          <w:ilvl w:val="0"/>
          <w:numId w:val="28"/>
        </w:numPr>
        <w:spacing w:before="30" w:after="30"/>
        <w:contextualSpacing w:val="false"/>
        <w:rPr>
          <w:sz w:val="21"/>
          <w:szCs w:val="21"/>
        </w:rPr>
      </w:pPr>
      <w:r>
        <w:rPr>
          <w:sz w:val="21"/>
          <w:szCs w:val="21"/>
        </w:rPr>
        <w:t>zorgt elke drie jaar voor een geldige VOG;</w:t>
      </w:r>
    </w:p>
    <w:p>
      <w:pPr>
        <w:pStyle w:val="ListParagraph"/>
        <w:numPr>
          <w:ilvl w:val="0"/>
          <w:numId w:val="29"/>
        </w:numPr>
        <w:spacing w:before="30" w:after="30"/>
        <w:contextualSpacing w:val="false"/>
        <w:rPr>
          <w:sz w:val="21"/>
          <w:szCs w:val="21"/>
        </w:rPr>
      </w:pPr>
      <w:r>
        <w:rPr>
          <w:sz w:val="21"/>
          <w:szCs w:val="21"/>
        </w:rPr>
        <w:t>toetst zijn handelen regelmatig aan de actuele wetenschappelijke inzichten en de consensus binnen zijn beroepsgroep (intervisie);</w:t>
      </w:r>
    </w:p>
    <w:p>
      <w:pPr>
        <w:pStyle w:val="ListParagraph"/>
        <w:numPr>
          <w:ilvl w:val="0"/>
          <w:numId w:val="30"/>
        </w:numPr>
        <w:spacing w:before="30" w:after="30"/>
        <w:contextualSpacing w:val="false"/>
        <w:rPr>
          <w:sz w:val="21"/>
          <w:szCs w:val="21"/>
        </w:rPr>
      </w:pPr>
      <w:r>
        <w:rPr>
          <w:sz w:val="21"/>
          <w:szCs w:val="21"/>
        </w:rPr>
        <w:t>schakelt, als hij de grenzen van zijn deskundigheid of bekwaamheid zou overschrijden, een collega in die wel over de vereiste deskundigheid beschikt.</w:t>
      </w:r>
    </w:p>
    <w:p>
      <w:pPr>
        <w:pStyle w:val="Normal"/>
        <w:spacing w:before="90" w:after="90"/>
        <w:rPr>
          <w:b/>
          <w:bCs/>
          <w:sz w:val="21"/>
          <w:szCs w:val="21"/>
        </w:rPr>
      </w:pPr>
      <w:r>
        <w:rPr>
          <w:b/>
          <w:bCs/>
          <w:sz w:val="21"/>
          <w:szCs w:val="21"/>
        </w:rPr>
        <w:t>Dossiervorming — de professional:</w:t>
      </w:r>
    </w:p>
    <w:p>
      <w:pPr>
        <w:pStyle w:val="ListParagraph"/>
        <w:numPr>
          <w:ilvl w:val="0"/>
          <w:numId w:val="31"/>
        </w:numPr>
        <w:spacing w:before="30" w:after="30"/>
        <w:contextualSpacing w:val="false"/>
        <w:rPr>
          <w:sz w:val="21"/>
          <w:szCs w:val="21"/>
        </w:rPr>
      </w:pPr>
      <w:r>
        <w:rPr>
          <w:sz w:val="21"/>
          <w:szCs w:val="21"/>
        </w:rPr>
        <w:t>rapporteert adequaat over iedere patiënt en legt informatie vast in het patiëntendossier over zijn aandeel in de zorg. Is hij tevens regiebehandelaar, dan zorgt hij voor de dossiervorming als geheel en voor de uitoefening van de patiëntenrechten volgens de instellingsprocedures;</w:t>
      </w:r>
    </w:p>
    <w:p>
      <w:pPr>
        <w:pStyle w:val="ListParagraph"/>
        <w:numPr>
          <w:ilvl w:val="0"/>
          <w:numId w:val="32"/>
        </w:numPr>
        <w:spacing w:before="30" w:after="30"/>
        <w:contextualSpacing w:val="false"/>
        <w:rPr>
          <w:sz w:val="21"/>
          <w:szCs w:val="21"/>
        </w:rPr>
      </w:pPr>
      <w:r>
        <w:rPr>
          <w:sz w:val="21"/>
          <w:szCs w:val="21"/>
        </w:rPr>
        <w:t>is gebonden aan de wettelijke geheimhoudingsplicht en verstrekt zonder toestemming van de patiënt geen informatie aan anderen dan de direct bij de behandeling betrokkenen, tenzij wettelijke bepalingen daartoe verplichten. De geheimhouding strekt zich uit tot na het overlijden van de patiënt.</w:t>
      </w:r>
    </w:p>
    <w:p>
      <w:pPr>
        <w:pStyle w:val="Normal"/>
        <w:spacing w:before="90" w:after="90"/>
        <w:rPr>
          <w:b/>
          <w:bCs/>
          <w:sz w:val="21"/>
          <w:szCs w:val="21"/>
        </w:rPr>
      </w:pPr>
      <w:r>
        <w:rPr>
          <w:b/>
          <w:bCs/>
          <w:sz w:val="21"/>
          <w:szCs w:val="21"/>
        </w:rPr>
        <w:t>Continuïteit van zorg — de professional:</w:t>
      </w:r>
    </w:p>
    <w:p>
      <w:pPr>
        <w:pStyle w:val="ListParagraph"/>
        <w:numPr>
          <w:ilvl w:val="0"/>
          <w:numId w:val="33"/>
        </w:numPr>
        <w:spacing w:before="30" w:after="30"/>
        <w:contextualSpacing w:val="false"/>
        <w:rPr>
          <w:sz w:val="21"/>
          <w:szCs w:val="21"/>
        </w:rPr>
      </w:pPr>
      <w:r>
        <w:rPr>
          <w:sz w:val="21"/>
          <w:szCs w:val="21"/>
        </w:rPr>
        <w:t>draagt er zorg voor dat ook tijdens vakantie en verlof de continuïteit van de zorg gewaarborgd is;</w:t>
      </w:r>
    </w:p>
    <w:p>
      <w:pPr>
        <w:pStyle w:val="ListParagraph"/>
        <w:numPr>
          <w:ilvl w:val="0"/>
          <w:numId w:val="34"/>
        </w:numPr>
        <w:spacing w:before="30" w:after="30"/>
        <w:contextualSpacing w:val="false"/>
        <w:rPr>
          <w:sz w:val="21"/>
          <w:szCs w:val="21"/>
        </w:rPr>
      </w:pPr>
      <w:r>
        <w:rPr>
          <w:sz w:val="21"/>
          <w:szCs w:val="21"/>
        </w:rPr>
        <w:t>zorgt voor adequate overdracht en toegankelijke informatie ten behoeve van degene die hem vervangt bij (on)voorziene afwezigheid; de vervanger heeft dezelfde verantwoordelijkheden als de oorspronkelijke professional;</w:t>
      </w:r>
    </w:p>
    <w:p>
      <w:pPr>
        <w:pStyle w:val="ListParagraph"/>
        <w:numPr>
          <w:ilvl w:val="0"/>
          <w:numId w:val="35"/>
        </w:numPr>
        <w:spacing w:before="30" w:after="30"/>
        <w:contextualSpacing w:val="false"/>
        <w:rPr>
          <w:sz w:val="21"/>
          <w:szCs w:val="21"/>
        </w:rPr>
      </w:pPr>
      <w:r>
        <w:rPr>
          <w:sz w:val="21"/>
          <w:szCs w:val="21"/>
        </w:rPr>
        <w:t>draagt bij aan het onderhouden van externe relaties, zodat een goede overdracht naar andere instellingen en ketenpartners gewaarborgd is.</w:t>
      </w:r>
    </w:p>
    <w:p>
      <w:pPr>
        <w:pStyle w:val="Normal"/>
        <w:spacing w:before="90" w:after="90"/>
        <w:rPr>
          <w:b/>
          <w:bCs/>
          <w:sz w:val="21"/>
          <w:szCs w:val="21"/>
        </w:rPr>
      </w:pPr>
      <w:r>
        <w:rPr>
          <w:b/>
          <w:bCs/>
          <w:sz w:val="21"/>
          <w:szCs w:val="21"/>
        </w:rPr>
        <w:t>Weigeren en afbreken van zorgverlening — de professional:</w:t>
      </w:r>
    </w:p>
    <w:p>
      <w:pPr>
        <w:pStyle w:val="ListParagraph"/>
        <w:numPr>
          <w:ilvl w:val="0"/>
          <w:numId w:val="36"/>
        </w:numPr>
        <w:spacing w:before="30" w:after="30"/>
        <w:contextualSpacing w:val="false"/>
        <w:rPr>
          <w:sz w:val="21"/>
          <w:szCs w:val="21"/>
        </w:rPr>
      </w:pPr>
      <w:r>
        <w:rPr>
          <w:sz w:val="21"/>
          <w:szCs w:val="21"/>
        </w:rPr>
        <w:t>die gegronde redenen meent te hebben de zorgverlening aan een patiënt niet op zich te nemen, bespreekt dit in het multidisciplinair overleg (MDO) en draagt zorg voor voldoende continuïteit van de zorg;</w:t>
      </w:r>
    </w:p>
    <w:p>
      <w:pPr>
        <w:pStyle w:val="ListParagraph"/>
        <w:numPr>
          <w:ilvl w:val="0"/>
          <w:numId w:val="37"/>
        </w:numPr>
        <w:spacing w:before="30" w:after="30"/>
        <w:contextualSpacing w:val="false"/>
        <w:rPr>
          <w:sz w:val="21"/>
          <w:szCs w:val="21"/>
        </w:rPr>
      </w:pPr>
      <w:r>
        <w:rPr>
          <w:sz w:val="21"/>
          <w:szCs w:val="21"/>
        </w:rPr>
        <w:t>die meent goede gronden te hebben om de zorgverlening aan een patiënt eenzijdig af te breken, legt dit voornemen vooraf ter bespreking voor in het MDO. Het MDO weegt de zorgvuldigheid en de continuïteit van zorg; de uitkomst en onderbouwing worden vastgelegd in het dossier.</w:t>
      </w:r>
    </w:p>
    <w:p>
      <w:pPr>
        <w:pStyle w:val="Normal"/>
        <w:spacing w:before="90" w:after="90"/>
        <w:rPr>
          <w:b/>
          <w:bCs/>
          <w:sz w:val="21"/>
          <w:szCs w:val="21"/>
        </w:rPr>
      </w:pPr>
      <w:r>
        <w:rPr>
          <w:b/>
          <w:bCs/>
          <w:sz w:val="21"/>
          <w:szCs w:val="21"/>
        </w:rPr>
        <w:t>Instellingsbeleid — de professional:</w:t>
      </w:r>
    </w:p>
    <w:p>
      <w:pPr>
        <w:pStyle w:val="ListParagraph"/>
        <w:numPr>
          <w:ilvl w:val="0"/>
          <w:numId w:val="38"/>
        </w:numPr>
        <w:spacing w:before="30" w:after="30"/>
        <w:contextualSpacing w:val="false"/>
        <w:rPr>
          <w:sz w:val="21"/>
          <w:szCs w:val="21"/>
        </w:rPr>
      </w:pPr>
      <w:r>
        <w:rPr>
          <w:sz w:val="21"/>
          <w:szCs w:val="21"/>
        </w:rPr>
        <w:t>verleent medewerking aan de totstandkoming, implementatie en uitvoering van (zorginhoudelijke) richtlijnen, protocollen en procedures;</w:t>
      </w:r>
    </w:p>
    <w:p>
      <w:pPr>
        <w:pStyle w:val="ListParagraph"/>
        <w:numPr>
          <w:ilvl w:val="0"/>
          <w:numId w:val="39"/>
        </w:numPr>
        <w:spacing w:before="30" w:after="30"/>
        <w:contextualSpacing w:val="false"/>
        <w:rPr>
          <w:sz w:val="21"/>
          <w:szCs w:val="21"/>
        </w:rPr>
      </w:pPr>
      <w:r>
        <w:rPr>
          <w:sz w:val="21"/>
          <w:szCs w:val="21"/>
        </w:rPr>
        <w:t>houdt zich aan de afspraken in deze protocollen en richtlijnen, met de mogelijkheid daarvan in het belang van de patiënt gemotiveerd af te wijken (mits vastgelegd in het dossier);</w:t>
      </w:r>
    </w:p>
    <w:p>
      <w:pPr>
        <w:pStyle w:val="ListParagraph"/>
        <w:numPr>
          <w:ilvl w:val="0"/>
          <w:numId w:val="40"/>
        </w:numPr>
        <w:spacing w:before="30" w:after="30"/>
        <w:contextualSpacing w:val="false"/>
        <w:rPr>
          <w:sz w:val="21"/>
          <w:szCs w:val="21"/>
        </w:rPr>
      </w:pPr>
      <w:r>
        <w:rPr>
          <w:sz w:val="21"/>
          <w:szCs w:val="21"/>
        </w:rPr>
        <w:t>verleent medewerking aan de totstandkoming en uitvoering van het kwaliteitsbeleid, onder meer via deelname aan het MDO;</w:t>
      </w:r>
    </w:p>
    <w:p>
      <w:pPr>
        <w:pStyle w:val="ListParagraph"/>
        <w:numPr>
          <w:ilvl w:val="0"/>
          <w:numId w:val="41"/>
        </w:numPr>
        <w:spacing w:before="30" w:after="30"/>
        <w:contextualSpacing w:val="false"/>
        <w:rPr>
          <w:sz w:val="21"/>
          <w:szCs w:val="21"/>
        </w:rPr>
      </w:pPr>
      <w:r>
        <w:rPr>
          <w:sz w:val="21"/>
          <w:szCs w:val="21"/>
        </w:rPr>
        <w:t>levert een actieve bijdrage aan de kwalitatieve rapportage en registratie van zijn verrichtingen volgens de geldende regels;</w:t>
      </w:r>
    </w:p>
    <w:p>
      <w:pPr>
        <w:pStyle w:val="ListParagraph"/>
        <w:numPr>
          <w:ilvl w:val="0"/>
          <w:numId w:val="42"/>
        </w:numPr>
        <w:spacing w:before="30" w:after="30"/>
        <w:contextualSpacing w:val="false"/>
        <w:rPr>
          <w:sz w:val="21"/>
          <w:szCs w:val="21"/>
        </w:rPr>
      </w:pPr>
      <w:r>
        <w:rPr>
          <w:sz w:val="21"/>
          <w:szCs w:val="21"/>
        </w:rPr>
        <w:t>levert binnen redelijke grenzen een bijdrage aan instructie- en opleidingsactiviteiten;</w:t>
      </w:r>
    </w:p>
    <w:p>
      <w:pPr>
        <w:pStyle w:val="ListParagraph"/>
        <w:numPr>
          <w:ilvl w:val="0"/>
          <w:numId w:val="43"/>
        </w:numPr>
        <w:spacing w:before="30" w:after="30"/>
        <w:contextualSpacing w:val="false"/>
        <w:rPr>
          <w:sz w:val="21"/>
          <w:szCs w:val="21"/>
        </w:rPr>
      </w:pPr>
      <w:r>
        <w:rPr>
          <w:sz w:val="21"/>
          <w:szCs w:val="21"/>
        </w:rPr>
        <w:t>houdt zich bij extern optreden aan de afspraken over contacten met pers, media en andere instanties.</w:t>
      </w:r>
    </w:p>
    <w:p>
      <w:pPr>
        <w:pStyle w:val="Heading2"/>
        <w:spacing w:before="220" w:after="110"/>
        <w:ind w:hanging="0" w:left="0"/>
        <w:rPr>
          <w:b/>
          <w:bCs/>
          <w:color w:val="2E5395"/>
          <w:sz w:val="25"/>
          <w:szCs w:val="25"/>
        </w:rPr>
      </w:pPr>
      <w:r>
        <w:rPr>
          <w:b/>
          <w:bCs/>
          <w:color w:val="2E5395"/>
          <w:sz w:val="25"/>
          <w:szCs w:val="25"/>
        </w:rPr>
        <w:t>5. Verantwoordelijkheden en bevoegdheden in het behandelproces</w:t>
      </w:r>
    </w:p>
    <w:p>
      <w:pPr>
        <w:pStyle w:val="Normal"/>
        <w:spacing w:before="90" w:after="90"/>
        <w:rPr>
          <w:sz w:val="21"/>
          <w:szCs w:val="21"/>
        </w:rPr>
      </w:pPr>
      <w:r>
        <w:rPr>
          <w:sz w:val="21"/>
          <w:szCs w:val="21"/>
        </w:rPr>
        <w:t>Binnen dit statuut wordt onderscheid gemaakt tussen disciplines en rollen in het behandelproces. Aan de rollen zijn door de instelling specifieke taken met bijbehorende verantwoordelijkheden en bevoegdheden toegekend. Disciplines verschillen in hun bevoegdheid tot het zelfstandig uitoefenen van taken; dit vloeit voort uit de Wet BIG en de regelgeving omtrent regiebehandelaarschap. De relatie tussen rollen en disciplines is dus geen één-op-één-relatie.</w:t>
      </w:r>
    </w:p>
    <w:p>
      <w:pPr>
        <w:pStyle w:val="Heading3"/>
        <w:spacing w:before="160" w:after="80"/>
        <w:ind w:hanging="0" w:left="0"/>
        <w:rPr>
          <w:b/>
          <w:bCs/>
          <w:color w:val="2E5395"/>
          <w:sz w:val="22"/>
          <w:szCs w:val="22"/>
        </w:rPr>
      </w:pPr>
      <w:r>
        <w:rPr>
          <w:b/>
          <w:bCs/>
          <w:color w:val="2E5395"/>
          <w:sz w:val="22"/>
          <w:szCs w:val="22"/>
        </w:rPr>
        <w:t>5.1 De Wet BIG en deskundigheidsgebieden</w:t>
      </w:r>
    </w:p>
    <w:p>
      <w:pPr>
        <w:pStyle w:val="Normal"/>
        <w:spacing w:before="90" w:after="90"/>
        <w:rPr>
          <w:sz w:val="21"/>
          <w:szCs w:val="21"/>
        </w:rPr>
      </w:pPr>
      <w:r>
        <w:rPr>
          <w:sz w:val="21"/>
          <w:szCs w:val="21"/>
        </w:rPr>
        <w:t>De Wet BIG brengt voor het vervullen van bepaalde rollen de volgende beperkingen aan. Artsen zijn zelfstandig bevoegd tot geneeskundig handelen in brede zin. GZ-psychologen, klinisch psychologen en psychotherapeuten hebben een zelfstandige bevoegdheid tot diagnostisch en therapeutisch handelen, doch slechts op het eigen deskundigheidsterrein. De verpleegkundige discipline is niet zelfstandig bevoegd om diagnostische en therapeutische activiteiten te verrichten (met uitzondering van de verpleegkundig specialist).</w:t>
      </w:r>
    </w:p>
    <w:p>
      <w:pPr>
        <w:pStyle w:val="Normal"/>
        <w:spacing w:before="90" w:after="90"/>
        <w:rPr>
          <w:sz w:val="21"/>
          <w:szCs w:val="21"/>
        </w:rPr>
      </w:pPr>
      <w:r>
        <w:rPr>
          <w:sz w:val="21"/>
          <w:szCs w:val="21"/>
        </w:rPr>
        <w:t>De directie ziet erop toe dat de grenzen van bekwaamheid — en daarmee bevoegdheid — van de professionals worden vastgesteld in relatie tot de specifieke doelgroep(en) die behandeld wordt. Bij PDNW zijn de relevante disciplines: psychiater, klinisch psycholoog, psychotherapeut, GZ-psycholoog en verpleegkundig specialist GGZ, alsmede basispsycholoog, sociaal psychiatrisch verpleegkundige en opleidelingen psychotherapie.</w:t>
      </w:r>
    </w:p>
    <w:p>
      <w:pPr>
        <w:pStyle w:val="Heading3"/>
        <w:spacing w:before="160" w:after="80"/>
        <w:ind w:hanging="0" w:left="0"/>
        <w:rPr>
          <w:b/>
          <w:bCs/>
          <w:color w:val="2E5395"/>
          <w:sz w:val="22"/>
          <w:szCs w:val="22"/>
        </w:rPr>
      </w:pPr>
      <w:r>
        <w:rPr>
          <w:b/>
          <w:bCs/>
          <w:color w:val="2E5395"/>
          <w:sz w:val="22"/>
          <w:szCs w:val="22"/>
        </w:rPr>
        <w:t>5.2 Welke disciplines kunnen welke rol vervullen</w:t>
      </w:r>
    </w:p>
    <w:tbl>
      <w:tblPr>
        <w:tblW w:w="10206" w:type="dxa"/>
        <w:jc w:val="left"/>
        <w:tblInd w:w="115" w:type="dxa"/>
        <w:tblLayout w:type="fixed"/>
        <w:tblCellMar>
          <w:top w:w="70" w:type="dxa"/>
          <w:left w:w="110" w:type="dxa"/>
          <w:bottom w:w="70" w:type="dxa"/>
          <w:right w:w="110" w:type="dxa"/>
        </w:tblCellMar>
      </w:tblPr>
      <w:tblGrid>
        <w:gridCol w:w="2883"/>
        <w:gridCol w:w="2160"/>
        <w:gridCol w:w="5163"/>
      </w:tblGrid>
      <w:tr>
        <w:trPr>
          <w:tblHeader w:val="true"/>
        </w:trPr>
        <w:tc>
          <w:tcPr>
            <w:tcW w:w="2883" w:type="dxa"/>
            <w:tcBorders>
              <w:top w:val="single" w:sz="4" w:space="0" w:color="999999"/>
              <w:left w:val="single" w:sz="4" w:space="0" w:color="999999"/>
              <w:bottom w:val="single" w:sz="4" w:space="0" w:color="999999"/>
              <w:right w:val="single" w:sz="4" w:space="0" w:color="999999"/>
            </w:tcBorders>
            <w:shd w:fill="1F3864" w:val="clear"/>
          </w:tcPr>
          <w:p>
            <w:pPr>
              <w:pStyle w:val="Normal"/>
              <w:spacing w:before="30" w:after="30"/>
              <w:rPr>
                <w:b/>
                <w:bCs/>
                <w:color w:val="FFFFFF"/>
                <w:sz w:val="18"/>
                <w:szCs w:val="18"/>
              </w:rPr>
            </w:pPr>
            <w:r>
              <w:rPr>
                <w:b/>
                <w:bCs/>
                <w:color w:val="FFFFFF"/>
                <w:sz w:val="18"/>
                <w:szCs w:val="18"/>
              </w:rPr>
              <w:t>Discipline</w:t>
            </w:r>
          </w:p>
        </w:tc>
        <w:tc>
          <w:tcPr>
            <w:tcW w:w="2160" w:type="dxa"/>
            <w:tcBorders>
              <w:top w:val="single" w:sz="4" w:space="0" w:color="999999"/>
              <w:left w:val="single" w:sz="4" w:space="0" w:color="999999"/>
              <w:bottom w:val="single" w:sz="4" w:space="0" w:color="999999"/>
              <w:right w:val="single" w:sz="4" w:space="0" w:color="999999"/>
            </w:tcBorders>
            <w:shd w:fill="1F3864" w:val="clear"/>
          </w:tcPr>
          <w:p>
            <w:pPr>
              <w:pStyle w:val="Normal"/>
              <w:spacing w:before="30" w:after="30"/>
              <w:rPr>
                <w:b/>
                <w:bCs/>
                <w:color w:val="FFFFFF"/>
                <w:sz w:val="18"/>
                <w:szCs w:val="18"/>
              </w:rPr>
            </w:pPr>
            <w:r>
              <w:rPr>
                <w:b/>
                <w:bCs/>
                <w:color w:val="FFFFFF"/>
                <w:sz w:val="18"/>
                <w:szCs w:val="18"/>
              </w:rPr>
              <w:t>Kan regiebehandelaar zijn?</w:t>
            </w:r>
          </w:p>
        </w:tc>
        <w:tc>
          <w:tcPr>
            <w:tcW w:w="5163" w:type="dxa"/>
            <w:tcBorders>
              <w:top w:val="single" w:sz="4" w:space="0" w:color="999999"/>
              <w:left w:val="single" w:sz="4" w:space="0" w:color="999999"/>
              <w:bottom w:val="single" w:sz="4" w:space="0" w:color="999999"/>
              <w:right w:val="single" w:sz="4" w:space="0" w:color="999999"/>
            </w:tcBorders>
            <w:shd w:fill="1F3864" w:val="clear"/>
          </w:tcPr>
          <w:p>
            <w:pPr>
              <w:pStyle w:val="Normal"/>
              <w:spacing w:before="30" w:after="30"/>
              <w:rPr>
                <w:b/>
                <w:bCs/>
                <w:color w:val="FFFFFF"/>
                <w:sz w:val="18"/>
                <w:szCs w:val="18"/>
              </w:rPr>
            </w:pPr>
            <w:r>
              <w:rPr>
                <w:b/>
                <w:bCs/>
                <w:color w:val="FFFFFF"/>
                <w:sz w:val="18"/>
                <w:szCs w:val="18"/>
              </w:rPr>
              <w:t>Toelichting</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Psychiater</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Ja (indicerend en coördinerend)</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Zelfstandig bevoegd tot geneeskundig handelen in brede zin, inclusief farmacotherapie. Binnen PDNW eindverantwoordelijk voor medicatiebeleid.</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Klinisch psycholoog</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Ja (indicerend en coördinerend)</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Diagnostiek en behandeling van complexe psychopathologie, inclusief psychotherapie.</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Psychotherapeut</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Ja (indicerend en coördinerend)</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Onderzoek en behandeling van psychische stoornissen volgens erkende methoden.</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GZ-psycholoog</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Ja (indicerend en coördinerend)</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Psychologisch onderzoek, beoordeling en behandeling op het eigen deskundigheidsterrein.</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Verpleegkundig specialist GGZ</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Ja (indicerend en coördinerend)</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BIG-geregistreerd als verpleegkundig specialist GGZ; binnen het eigen deskundigheidsgebied bevoegd tot het voorschrijven van bepaalde geneesmiddelen conform Wet BIG. Binnen PDNW: afstemming met psychiater over farmacotherapie waar nodig.</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Basispsycholoog</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Nee — medebehandelaar onder regie</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WO-master psychologie zonder GZ-postmaster; geen artikel-3-BIG-registratie. Werkt onder regie van een regiebehandelaar; voert (delen van) diagnostiek en behandeling uit conform behandelplan.</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Sociaal psychiatrisch verpleegkundige (SPV)</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Nee — medebehandelaar onder regie</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BIG-geregistreerd als verpleegkundige met post-HBO-opleiding SPV. Werkt onder regie van een regiebehandelaar; sterk in stabilisering, signalering en sociaal-psychiatrische begeleiding.</w:t>
            </w:r>
          </w:p>
        </w:tc>
      </w:tr>
      <w:tr>
        <w:trPr/>
        <w:tc>
          <w:tcPr>
            <w:tcW w:w="2883" w:type="dxa"/>
            <w:tcBorders>
              <w:top w:val="single" w:sz="4" w:space="0" w:color="999999"/>
              <w:left w:val="single" w:sz="4" w:space="0" w:color="999999"/>
              <w:bottom w:val="single" w:sz="4" w:space="0" w:color="999999"/>
              <w:right w:val="single" w:sz="4" w:space="0" w:color="999999"/>
            </w:tcBorders>
          </w:tcPr>
          <w:p>
            <w:pPr>
              <w:pStyle w:val="Normal"/>
              <w:spacing w:before="30" w:after="30"/>
              <w:rPr>
                <w:b/>
                <w:bCs/>
                <w:sz w:val="18"/>
                <w:szCs w:val="18"/>
              </w:rPr>
            </w:pPr>
            <w:r>
              <w:rPr>
                <w:b/>
                <w:bCs/>
                <w:sz w:val="18"/>
                <w:szCs w:val="18"/>
              </w:rPr>
              <w:t>Opleideling psychotherapie / GZ-psycholoog in opleiding</w:t>
            </w:r>
          </w:p>
        </w:tc>
        <w:tc>
          <w:tcPr>
            <w:tcW w:w="2160"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Nee — medebehandelaar onder werkbegeleiding</w:t>
            </w:r>
          </w:p>
        </w:tc>
        <w:tc>
          <w:tcPr>
            <w:tcW w:w="5163" w:type="dxa"/>
            <w:tcBorders>
              <w:top w:val="single" w:sz="4" w:space="0" w:color="999999"/>
              <w:left w:val="single" w:sz="4" w:space="0" w:color="999999"/>
              <w:bottom w:val="single" w:sz="4" w:space="0" w:color="999999"/>
              <w:right w:val="single" w:sz="4" w:space="0" w:color="999999"/>
            </w:tcBorders>
          </w:tcPr>
          <w:p>
            <w:pPr>
              <w:pStyle w:val="Normal"/>
              <w:spacing w:before="30" w:after="30"/>
              <w:rPr>
                <w:b w:val="false"/>
                <w:bCs w:val="false"/>
                <w:sz w:val="18"/>
                <w:szCs w:val="18"/>
              </w:rPr>
            </w:pPr>
            <w:r>
              <w:rPr>
                <w:b w:val="false"/>
                <w:bCs w:val="false"/>
                <w:sz w:val="18"/>
                <w:szCs w:val="18"/>
              </w:rPr>
              <w:t>Werkt onder werkbegeleiding van een gekwalificeerde regiebehandelaar. Voert (delen van) de behandeling uit binnen de toegekende reikwijdte.</w:t>
            </w:r>
          </w:p>
        </w:tc>
      </w:tr>
    </w:tbl>
    <w:p>
      <w:pPr>
        <w:pStyle w:val="Normal"/>
        <w:spacing w:before="90" w:after="90"/>
        <w:rPr/>
      </w:pPr>
      <w:r>
        <w:rPr/>
      </w:r>
    </w:p>
    <w:p>
      <w:pPr>
        <w:pStyle w:val="Heading3"/>
        <w:spacing w:before="160" w:after="80"/>
        <w:ind w:hanging="0" w:left="0"/>
        <w:rPr>
          <w:b/>
          <w:bCs/>
          <w:color w:val="2E5395"/>
          <w:sz w:val="22"/>
          <w:szCs w:val="22"/>
        </w:rPr>
      </w:pPr>
      <w:r>
        <w:rPr>
          <w:b/>
          <w:bCs/>
          <w:color w:val="2E5395"/>
          <w:sz w:val="22"/>
          <w:szCs w:val="22"/>
        </w:rPr>
        <w:t>5.3 Rollen in het behandelproces</w:t>
      </w:r>
    </w:p>
    <w:p>
      <w:pPr>
        <w:pStyle w:val="Normal"/>
        <w:spacing w:before="90" w:after="90"/>
        <w:rPr>
          <w:b/>
          <w:bCs/>
          <w:sz w:val="21"/>
          <w:szCs w:val="21"/>
        </w:rPr>
      </w:pPr>
      <w:r>
        <w:rPr>
          <w:b/>
          <w:bCs/>
          <w:sz w:val="21"/>
          <w:szCs w:val="21"/>
        </w:rPr>
        <w:t>Regiebehandelaar — indicerende rol</w:t>
      </w:r>
    </w:p>
    <w:p>
      <w:pPr>
        <w:pStyle w:val="Normal"/>
        <w:spacing w:before="90" w:after="90"/>
        <w:rPr>
          <w:sz w:val="21"/>
          <w:szCs w:val="21"/>
        </w:rPr>
      </w:pPr>
      <w:r>
        <w:rPr>
          <w:sz w:val="21"/>
          <w:szCs w:val="21"/>
        </w:rPr>
        <w:t>De indicerend regiebehandelaar analyseert het probleem op basis van professionele kennis en ervaring, samen met de patiënt en eventueel met gebruik van de deskundigheid van andere zorgverleners. Hij maakt een probleemanalyse, stelt een diagnose en stelt een behandelplan op hoofdlijnen op. Tijdens de behandelfase wordt hij betrokken bij vastgelegde reflectiemomenten, en bij ingrijpende wijzigingen in complexiteit of bij vastlopen van de behandeling; waar nodig stelt hij een nieuw behandelplan op.</w:t>
      </w:r>
    </w:p>
    <w:p>
      <w:pPr>
        <w:pStyle w:val="Normal"/>
        <w:spacing w:before="90" w:after="90"/>
        <w:rPr>
          <w:b/>
          <w:bCs/>
          <w:sz w:val="21"/>
          <w:szCs w:val="21"/>
        </w:rPr>
      </w:pPr>
      <w:r>
        <w:rPr>
          <w:b/>
          <w:bCs/>
          <w:sz w:val="21"/>
          <w:szCs w:val="21"/>
        </w:rPr>
        <w:t>Regiebehandelaar — coördinerende rol</w:t>
      </w:r>
    </w:p>
    <w:p>
      <w:pPr>
        <w:pStyle w:val="Normal"/>
        <w:spacing w:before="90" w:after="90"/>
        <w:rPr>
          <w:sz w:val="21"/>
          <w:szCs w:val="21"/>
        </w:rPr>
      </w:pPr>
      <w:r>
        <w:rPr>
          <w:sz w:val="21"/>
          <w:szCs w:val="21"/>
        </w:rPr>
        <w:t>De coördinerend regiebehandelaar zorgt voor goede afstemming en coördinatie van het zorgaanbod en de samenwerking tussen de betrokken zorgverleners. Hij werkt waar nodig het behandelplan gedetailleerder uit, reflecteert regelmatig met de patiënt (en bij ingrijpende veranderingen met de indicerend regiebehandelaar), stelt het behandelplan bij of beëindigt het, en is het centrale aanspreekpunt voor de patiënt.</w:t>
      </w:r>
    </w:p>
    <w:p>
      <w:pPr>
        <w:pStyle w:val="Normal"/>
        <w:spacing w:before="90" w:after="90"/>
        <w:rPr>
          <w:sz w:val="21"/>
          <w:szCs w:val="21"/>
        </w:rPr>
      </w:pPr>
      <w:r>
        <w:rPr>
          <w:sz w:val="21"/>
          <w:szCs w:val="21"/>
        </w:rPr>
        <w:t>Binnen PDNW kunnen psychiater, klinisch psycholoog, psychotherapeut en GZ-psycholoog zowel de indicerende als de coördinerende rol vervullen. De regiebehandelaar heeft de volgende verantwoordelijkheden en bevoegdheden:</w:t>
      </w:r>
    </w:p>
    <w:p>
      <w:pPr>
        <w:pStyle w:val="ListParagraph"/>
        <w:numPr>
          <w:ilvl w:val="0"/>
          <w:numId w:val="44"/>
        </w:numPr>
        <w:spacing w:before="30" w:after="30"/>
        <w:contextualSpacing w:val="false"/>
        <w:rPr>
          <w:sz w:val="21"/>
          <w:szCs w:val="21"/>
        </w:rPr>
      </w:pPr>
      <w:r>
        <w:rPr>
          <w:sz w:val="21"/>
          <w:szCs w:val="21"/>
        </w:rPr>
        <w:t>(indicerend) is verantwoordelijk voor het vaststellen van de diagnose, waarbij de patiënt daadwerkelijk (mede) is beoordeeld door de regiebehandelaar via direct contact. Delen van het intake-/diagnostisch proces kunnen door anderen worden verricht;</w:t>
      </w:r>
    </w:p>
    <w:p>
      <w:pPr>
        <w:pStyle w:val="ListParagraph"/>
        <w:numPr>
          <w:ilvl w:val="0"/>
          <w:numId w:val="45"/>
        </w:numPr>
        <w:spacing w:before="30" w:after="30"/>
        <w:contextualSpacing w:val="false"/>
        <w:rPr>
          <w:sz w:val="21"/>
          <w:szCs w:val="21"/>
        </w:rPr>
      </w:pPr>
      <w:r>
        <w:rPr>
          <w:sz w:val="21"/>
          <w:szCs w:val="21"/>
        </w:rPr>
        <w:t>(indicerend) stelt in overleg met de patiënt het behandelplan vast, gericht op verantwoorde, richtlijnconforme behandeling;</w:t>
      </w:r>
    </w:p>
    <w:p>
      <w:pPr>
        <w:pStyle w:val="ListParagraph"/>
        <w:numPr>
          <w:ilvl w:val="0"/>
          <w:numId w:val="46"/>
        </w:numPr>
        <w:spacing w:before="30" w:after="30"/>
        <w:contextualSpacing w:val="false"/>
        <w:rPr>
          <w:sz w:val="21"/>
          <w:szCs w:val="21"/>
        </w:rPr>
      </w:pPr>
      <w:r>
        <w:rPr>
          <w:sz w:val="21"/>
          <w:szCs w:val="21"/>
        </w:rPr>
        <w:t>(indicerend en coördinerend) vergewist zich van de bevoegdheid en bekwaamheid van de medebehandelaars in relatie tot de zelfstandige uitvoering van hun deel;</w:t>
      </w:r>
    </w:p>
    <w:p>
      <w:pPr>
        <w:pStyle w:val="ListParagraph"/>
        <w:numPr>
          <w:ilvl w:val="0"/>
          <w:numId w:val="47"/>
        </w:numPr>
        <w:spacing w:before="30" w:after="30"/>
        <w:contextualSpacing w:val="false"/>
        <w:rPr>
          <w:sz w:val="21"/>
          <w:szCs w:val="21"/>
        </w:rPr>
      </w:pPr>
      <w:r>
        <w:rPr>
          <w:sz w:val="21"/>
          <w:szCs w:val="21"/>
        </w:rPr>
        <w:t>(indicerend en coördinerend) ziet erop toe dat de dossiervoering aan de eisen voldoet; medebehandelaren hebben een eigen verantwoordelijkheid voor adequate dossiervoering;</w:t>
      </w:r>
    </w:p>
    <w:p>
      <w:pPr>
        <w:pStyle w:val="ListParagraph"/>
        <w:numPr>
          <w:ilvl w:val="0"/>
          <w:numId w:val="48"/>
        </w:numPr>
        <w:spacing w:before="30" w:after="30"/>
        <w:contextualSpacing w:val="false"/>
        <w:rPr>
          <w:sz w:val="21"/>
          <w:szCs w:val="21"/>
        </w:rPr>
      </w:pPr>
      <w:r>
        <w:rPr>
          <w:sz w:val="21"/>
          <w:szCs w:val="21"/>
        </w:rPr>
        <w:t>(coördinerend) laat zich tijdig en voldoende informeren door medebehandelaars en toetst of hun activiteiten passen binnen het behandelplan; voert de evaluatiegesprekken met de patiënt;</w:t>
      </w:r>
    </w:p>
    <w:p>
      <w:pPr>
        <w:pStyle w:val="ListParagraph"/>
        <w:numPr>
          <w:ilvl w:val="0"/>
          <w:numId w:val="49"/>
        </w:numPr>
        <w:spacing w:before="30" w:after="30"/>
        <w:contextualSpacing w:val="false"/>
        <w:rPr>
          <w:sz w:val="21"/>
          <w:szCs w:val="21"/>
        </w:rPr>
      </w:pPr>
      <w:r>
        <w:rPr>
          <w:sz w:val="21"/>
          <w:szCs w:val="21"/>
        </w:rPr>
        <w:t>(indicerend en coördinerend) treft de medebehandelaars in persoonlijk en teamverband met de noodzakelijke frequentie (ook telefonisch en via beeldbellen), op geleide van de problematiek;</w:t>
      </w:r>
    </w:p>
    <w:p>
      <w:pPr>
        <w:pStyle w:val="ListParagraph"/>
        <w:numPr>
          <w:ilvl w:val="0"/>
          <w:numId w:val="50"/>
        </w:numPr>
        <w:spacing w:before="30" w:after="30"/>
        <w:contextualSpacing w:val="false"/>
        <w:rPr>
          <w:sz w:val="21"/>
          <w:szCs w:val="21"/>
        </w:rPr>
      </w:pPr>
      <w:r>
        <w:rPr>
          <w:sz w:val="21"/>
          <w:szCs w:val="21"/>
        </w:rPr>
        <w:t>(coördinerend) draagt zorg voor goede communicatie met de patiënt en diens naasten (indien van toepassing en met toestemming) over het beloop van de behandeling;</w:t>
      </w:r>
    </w:p>
    <w:p>
      <w:pPr>
        <w:pStyle w:val="ListParagraph"/>
        <w:numPr>
          <w:ilvl w:val="0"/>
          <w:numId w:val="51"/>
        </w:numPr>
        <w:spacing w:before="30" w:after="30"/>
        <w:contextualSpacing w:val="false"/>
        <w:rPr>
          <w:sz w:val="21"/>
          <w:szCs w:val="21"/>
        </w:rPr>
      </w:pPr>
      <w:r>
        <w:rPr>
          <w:sz w:val="21"/>
          <w:szCs w:val="21"/>
        </w:rPr>
        <w:t>(coördinerend) heeft inzicht in de voortgang, evalueert met de patiënt, stelt het behandelplan bij waar nodig, en autoriseert de beëindiging van de behandeling conform de geldende regels van het Zorgprestatiemodel.</w:t>
      </w:r>
    </w:p>
    <w:p>
      <w:pPr>
        <w:pStyle w:val="Normal"/>
        <w:spacing w:before="90" w:after="90"/>
        <w:rPr>
          <w:b/>
          <w:bCs/>
          <w:sz w:val="21"/>
          <w:szCs w:val="21"/>
        </w:rPr>
      </w:pPr>
      <w:r>
        <w:rPr>
          <w:b/>
          <w:bCs/>
          <w:sz w:val="21"/>
          <w:szCs w:val="21"/>
        </w:rPr>
        <w:t>Medebehandelaar</w:t>
      </w:r>
    </w:p>
    <w:p>
      <w:pPr>
        <w:pStyle w:val="Normal"/>
        <w:spacing w:before="90" w:after="90"/>
        <w:rPr>
          <w:sz w:val="21"/>
          <w:szCs w:val="21"/>
        </w:rPr>
      </w:pPr>
      <w:r>
        <w:rPr>
          <w:sz w:val="21"/>
          <w:szCs w:val="21"/>
        </w:rPr>
        <w:t>Een medebehandelaar voert, onder regie van de regiebehandelaar, een deel van de geïndiceerde behandeling uit. Hij is verantwoordelijk voor de uitvoering van zijn deel en informeert de regiebehandelaar tijdig — volgens diens instructie — over ontwikkelingen, zodat deze zijn regiefunctie kan waarmaken. De medebehandelaar kan, afgeleid van het behandelplan, een eigen deelbehandelplan maken.</w:t>
      </w:r>
    </w:p>
    <w:p>
      <w:pPr>
        <w:pStyle w:val="Heading3"/>
        <w:spacing w:before="160" w:after="80"/>
        <w:ind w:hanging="0" w:left="0"/>
        <w:rPr>
          <w:b/>
          <w:bCs/>
          <w:color w:val="2E5395"/>
          <w:sz w:val="22"/>
          <w:szCs w:val="22"/>
        </w:rPr>
      </w:pPr>
      <w:r>
        <w:rPr>
          <w:b/>
          <w:bCs/>
          <w:color w:val="2E5395"/>
          <w:sz w:val="22"/>
          <w:szCs w:val="22"/>
        </w:rPr>
        <w:t>5.4 Behandelplancyclus</w:t>
      </w:r>
    </w:p>
    <w:p>
      <w:pPr>
        <w:pStyle w:val="ListParagraph"/>
        <w:numPr>
          <w:ilvl w:val="0"/>
          <w:numId w:val="52"/>
        </w:numPr>
        <w:spacing w:before="30" w:after="30"/>
        <w:contextualSpacing w:val="false"/>
        <w:rPr>
          <w:sz w:val="21"/>
          <w:szCs w:val="21"/>
        </w:rPr>
      </w:pPr>
      <w:r>
        <w:rPr>
          <w:sz w:val="21"/>
          <w:szCs w:val="21"/>
        </w:rPr>
        <w:t>Het stellen van de diagnose, het indiceren en het vaststellen van het behandelplan in samenspraak met de patiënt gebeuren door een bevoegde, BIG-geregistreerde indicerend regiebehandelaar volgens dit statuut. Deze voert het eventuele adviesgesprek met de patiënt en start het zorgtraject.</w:t>
      </w:r>
    </w:p>
    <w:p>
      <w:pPr>
        <w:pStyle w:val="ListParagraph"/>
        <w:numPr>
          <w:ilvl w:val="0"/>
          <w:numId w:val="53"/>
        </w:numPr>
        <w:spacing w:before="30" w:after="30"/>
        <w:contextualSpacing w:val="false"/>
        <w:rPr>
          <w:sz w:val="21"/>
          <w:szCs w:val="21"/>
        </w:rPr>
      </w:pPr>
      <w:r>
        <w:rPr>
          <w:sz w:val="21"/>
          <w:szCs w:val="21"/>
        </w:rPr>
        <w:t>Onderdelen van de intake en/of voorbereiding kunnen worden gedaan door een medebehandelaar, mits daartoe aangewezen door de regiebehandelaar.</w:t>
      </w:r>
    </w:p>
    <w:p>
      <w:pPr>
        <w:pStyle w:val="ListParagraph"/>
        <w:numPr>
          <w:ilvl w:val="0"/>
          <w:numId w:val="54"/>
        </w:numPr>
        <w:spacing w:before="30" w:after="30"/>
        <w:contextualSpacing w:val="false"/>
        <w:rPr>
          <w:sz w:val="21"/>
          <w:szCs w:val="21"/>
        </w:rPr>
      </w:pPr>
      <w:r>
        <w:rPr>
          <w:sz w:val="21"/>
          <w:szCs w:val="21"/>
        </w:rPr>
        <w:t>De coördinerend regiebehandelaar heeft de regiefunctie en legt in het behandelplan vast welke taken door welke medebehandelaar worden uitgevoerd en wanneer hij geïnformeerd moet worden.</w:t>
      </w:r>
    </w:p>
    <w:p>
      <w:pPr>
        <w:pStyle w:val="ListParagraph"/>
        <w:numPr>
          <w:ilvl w:val="0"/>
          <w:numId w:val="55"/>
        </w:numPr>
        <w:spacing w:before="30" w:after="30"/>
        <w:contextualSpacing w:val="false"/>
        <w:rPr>
          <w:sz w:val="21"/>
          <w:szCs w:val="21"/>
        </w:rPr>
      </w:pPr>
      <w:r>
        <w:rPr>
          <w:sz w:val="21"/>
          <w:szCs w:val="21"/>
        </w:rPr>
        <w:t>De regiebehandelaar ziet toe op de dossiervoering; elke medebehandelaar legt zijn eigen behandelgegevens volledig, juist en tijdig vast.</w:t>
      </w:r>
    </w:p>
    <w:p>
      <w:pPr>
        <w:pStyle w:val="ListParagraph"/>
        <w:numPr>
          <w:ilvl w:val="0"/>
          <w:numId w:val="56"/>
        </w:numPr>
        <w:spacing w:before="30" w:after="30"/>
        <w:contextualSpacing w:val="false"/>
        <w:rPr>
          <w:sz w:val="21"/>
          <w:szCs w:val="21"/>
        </w:rPr>
      </w:pPr>
      <w:r>
        <w:rPr>
          <w:sz w:val="21"/>
          <w:szCs w:val="21"/>
        </w:rPr>
        <w:t>De evaluatie van het behandelplan met de patiënt wordt uitgevoerd door de coördinerend regiebehandelaar, die het plan zo nodig in samenspraak met de patiënt aanpast. De voorbereiding kan door een aangewezen medebehandelaar plaatsvinden.</w:t>
      </w:r>
    </w:p>
    <w:p>
      <w:pPr>
        <w:pStyle w:val="ListParagraph"/>
        <w:numPr>
          <w:ilvl w:val="0"/>
          <w:numId w:val="57"/>
        </w:numPr>
        <w:spacing w:before="30" w:after="30"/>
        <w:contextualSpacing w:val="false"/>
        <w:rPr>
          <w:sz w:val="21"/>
          <w:szCs w:val="21"/>
        </w:rPr>
      </w:pPr>
      <w:r>
        <w:rPr>
          <w:sz w:val="21"/>
          <w:szCs w:val="21"/>
        </w:rPr>
        <w:t>De beëindiging van de behandeling vindt plaats door de coördinerend regiebehandelaar, die de behandeling afsluit.</w:t>
      </w:r>
    </w:p>
    <w:p>
      <w:pPr>
        <w:pStyle w:val="Heading3"/>
        <w:spacing w:before="160" w:after="80"/>
        <w:ind w:hanging="0" w:left="0"/>
        <w:rPr>
          <w:b/>
          <w:bCs/>
          <w:color w:val="2E5395"/>
          <w:sz w:val="22"/>
          <w:szCs w:val="22"/>
        </w:rPr>
      </w:pPr>
      <w:r>
        <w:rPr>
          <w:b/>
          <w:bCs/>
          <w:color w:val="2E5395"/>
          <w:sz w:val="22"/>
          <w:szCs w:val="22"/>
        </w:rPr>
        <w:t>5.5 Consultatie van de regiebehandelaar en psychiater</w:t>
      </w:r>
    </w:p>
    <w:p>
      <w:pPr>
        <w:pStyle w:val="Normal"/>
        <w:spacing w:before="90" w:after="90"/>
        <w:rPr>
          <w:sz w:val="21"/>
          <w:szCs w:val="21"/>
        </w:rPr>
      </w:pPr>
      <w:r>
        <w:rPr>
          <w:sz w:val="21"/>
          <w:szCs w:val="21"/>
        </w:rPr>
        <w:t>Van elke professional wordt verwacht dat hij de grenzen van zijn eigen bekwaamheid kan inschatten en tijdig een collega inschakelt wanneer hij die grenzen bereikt. De regiebehandelaar legt per patiënt in het behandelplan vast wanneer hij geconsulteerd moet worden. Als de regiebehandelaar geen psychiater is, gelden onderstaande aanvullende afspraken.</w:t>
      </w:r>
    </w:p>
    <w:p>
      <w:pPr>
        <w:pStyle w:val="Normal"/>
        <w:spacing w:before="90" w:after="90"/>
        <w:rPr>
          <w:sz w:val="21"/>
          <w:szCs w:val="21"/>
        </w:rPr>
      </w:pPr>
      <w:r>
        <w:rPr>
          <w:sz w:val="21"/>
          <w:szCs w:val="21"/>
        </w:rPr>
        <w:t>De professional raadpleegt in ieder geval een psychiater wanneer sprake is van:</w:t>
      </w:r>
    </w:p>
    <w:p>
      <w:pPr>
        <w:pStyle w:val="ListParagraph"/>
        <w:numPr>
          <w:ilvl w:val="0"/>
          <w:numId w:val="58"/>
        </w:numPr>
        <w:spacing w:before="30" w:after="30"/>
        <w:contextualSpacing w:val="false"/>
        <w:rPr>
          <w:sz w:val="21"/>
          <w:szCs w:val="21"/>
        </w:rPr>
      </w:pPr>
      <w:r>
        <w:rPr>
          <w:sz w:val="21"/>
          <w:szCs w:val="21"/>
        </w:rPr>
        <w:t>het ontstaan of verergeren van somatische klachten bij een patiënt;</w:t>
      </w:r>
    </w:p>
    <w:p>
      <w:pPr>
        <w:pStyle w:val="ListParagraph"/>
        <w:numPr>
          <w:ilvl w:val="0"/>
          <w:numId w:val="59"/>
        </w:numPr>
        <w:spacing w:before="30" w:after="30"/>
        <w:contextualSpacing w:val="false"/>
        <w:rPr>
          <w:sz w:val="21"/>
          <w:szCs w:val="21"/>
        </w:rPr>
      </w:pPr>
      <w:r>
        <w:rPr>
          <w:sz w:val="21"/>
          <w:szCs w:val="21"/>
        </w:rPr>
        <w:t>het starten, stoppen of wijzigen van medicatie, indien hierover geen afspraken in het behandelplan zijn vastgelegd;</w:t>
      </w:r>
    </w:p>
    <w:p>
      <w:pPr>
        <w:pStyle w:val="ListParagraph"/>
        <w:numPr>
          <w:ilvl w:val="0"/>
          <w:numId w:val="60"/>
        </w:numPr>
        <w:spacing w:before="30" w:after="30"/>
        <w:contextualSpacing w:val="false"/>
        <w:rPr>
          <w:sz w:val="21"/>
          <w:szCs w:val="21"/>
        </w:rPr>
      </w:pPr>
      <w:r>
        <w:rPr>
          <w:sz w:val="21"/>
          <w:szCs w:val="21"/>
        </w:rPr>
        <w:t>het uitschrijven van recepten voor patiënten;</w:t>
      </w:r>
    </w:p>
    <w:p>
      <w:pPr>
        <w:pStyle w:val="ListParagraph"/>
        <w:numPr>
          <w:ilvl w:val="0"/>
          <w:numId w:val="61"/>
        </w:numPr>
        <w:spacing w:before="30" w:after="30"/>
        <w:contextualSpacing w:val="false"/>
        <w:rPr>
          <w:sz w:val="21"/>
          <w:szCs w:val="21"/>
        </w:rPr>
      </w:pPr>
      <w:r>
        <w:rPr>
          <w:sz w:val="21"/>
          <w:szCs w:val="21"/>
        </w:rPr>
        <w:t>het ontstaan of verergeren van suïcidaliteit;</w:t>
      </w:r>
    </w:p>
    <w:p>
      <w:pPr>
        <w:pStyle w:val="ListParagraph"/>
        <w:numPr>
          <w:ilvl w:val="0"/>
          <w:numId w:val="62"/>
        </w:numPr>
        <w:spacing w:before="30" w:after="30"/>
        <w:contextualSpacing w:val="false"/>
        <w:rPr>
          <w:sz w:val="21"/>
          <w:szCs w:val="21"/>
        </w:rPr>
      </w:pPr>
      <w:r>
        <w:rPr>
          <w:sz w:val="21"/>
          <w:szCs w:val="21"/>
        </w:rPr>
        <w:t>indicatiestelling voor verwijzing naar opname (bijvoorbeeld via GGZ InGeest of Parnassia).</w:t>
      </w:r>
    </w:p>
    <w:p>
      <w:pPr>
        <w:pStyle w:val="Normal"/>
        <w:spacing w:before="90" w:after="90"/>
        <w:rPr>
          <w:sz w:val="21"/>
          <w:szCs w:val="21"/>
        </w:rPr>
      </w:pPr>
      <w:r>
        <w:rPr>
          <w:sz w:val="21"/>
          <w:szCs w:val="21"/>
        </w:rPr>
        <w:t>Afhankelijk van de consultvraag zijn meerdere scenario's mogelijk: overleg tussen professional en psychiater uitmondend in een behandeladvies; een consult van de psychiater met de patiënt uitmondend in een behandeladvies; of overname door de psychiater van (een deel van) de behandeling.</w:t>
      </w:r>
    </w:p>
    <w:p>
      <w:pPr>
        <w:pStyle w:val="Heading2"/>
        <w:spacing w:before="220" w:after="110"/>
        <w:ind w:hanging="0" w:left="0"/>
        <w:rPr>
          <w:b/>
          <w:bCs/>
          <w:color w:val="2E5395"/>
          <w:sz w:val="25"/>
          <w:szCs w:val="25"/>
        </w:rPr>
      </w:pPr>
      <w:r>
        <w:rPr>
          <w:b/>
          <w:bCs/>
          <w:color w:val="2E5395"/>
          <w:sz w:val="25"/>
          <w:szCs w:val="25"/>
        </w:rPr>
        <w:t>6. Vaststelling</w:t>
      </w:r>
    </w:p>
    <w:p>
      <w:pPr>
        <w:pStyle w:val="Normal"/>
        <w:spacing w:before="90" w:after="90"/>
        <w:rPr>
          <w:sz w:val="21"/>
          <w:szCs w:val="21"/>
        </w:rPr>
      </w:pPr>
      <w:r>
        <w:rPr>
          <w:sz w:val="21"/>
          <w:szCs w:val="21"/>
        </w:rPr>
        <w:t>Dit professioneel statuut (versie 2.0) is vastgesteld door de directie van PDNW in mei 2026.</w:t>
      </w:r>
    </w:p>
    <w:p>
      <w:pPr>
        <w:pStyle w:val="Normal"/>
        <w:spacing w:before="90" w:after="90"/>
        <w:rPr>
          <w:sz w:val="21"/>
          <w:szCs w:val="21"/>
        </w:rPr>
      </w:pPr>
      <w:r>
        <w:rPr>
          <w:sz w:val="21"/>
          <w:szCs w:val="21"/>
        </w:rPr>
      </w:r>
    </w:p>
    <w:sectPr>
      <w:footerReference w:type="even" r:id="rId2"/>
      <w:footerReference w:type="default" r:id="rId3"/>
      <w:footerReference w:type="first" r:id="rId4"/>
      <w:type w:val="nextPage"/>
      <w:pgSz w:w="11906" w:h="16838"/>
      <w:pgMar w:left="1417" w:right="1417" w:gutter="0" w:header="0" w:top="1417" w:footer="708" w:bottom="124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Fonts w:cs="Arial"/>
                            </w:rPr>
                          </w:pPr>
                          <w:r>
                            <w:rPr>
                              <w:rStyle w:val="PageNumber"/>
                              <w:rFonts w:cs="Arial"/>
                              <w:color w:val="000000"/>
                            </w:rPr>
                            <w:fldChar w:fldCharType="begin"/>
                          </w:r>
                          <w:r>
                            <w:rPr>
                              <w:rStyle w:val="PageNumber"/>
                              <w:rFonts w:cs="Arial"/>
                              <w:color w:val="000000"/>
                            </w:rPr>
                            <w:instrText xml:space="preserve"> PAGE </w:instrText>
                          </w:r>
                          <w:r>
                            <w:rPr>
                              <w:rStyle w:val="PageNumber"/>
                              <w:rFonts w:cs="Arial"/>
                              <w:color w:val="000000"/>
                            </w:rPr>
                            <w:fldChar w:fldCharType="separate"/>
                          </w:r>
                          <w:r>
                            <w:rPr>
                              <w:rStyle w:val="PageNumber"/>
                              <w:rFonts w:cs="Arial"/>
                              <w:color w:val="000000"/>
                            </w:rPr>
                            <w:t>0</w:t>
                          </w:r>
                          <w:r>
                            <w:rPr>
                              <w:rStyle w:val="PageNumber"/>
                              <w:rFonts w:cs="Arial"/>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Fonts w:cs="Arial"/>
                      </w:rPr>
                    </w:pPr>
                    <w:r>
                      <w:rPr>
                        <w:rStyle w:val="PageNumber"/>
                        <w:rFonts w:cs="Arial"/>
                        <w:color w:val="000000"/>
                      </w:rPr>
                      <w:fldChar w:fldCharType="begin"/>
                    </w:r>
                    <w:r>
                      <w:rPr>
                        <w:rStyle w:val="PageNumber"/>
                        <w:rFonts w:cs="Arial"/>
                        <w:color w:val="000000"/>
                      </w:rPr>
                      <w:instrText xml:space="preserve"> PAGE </w:instrText>
                    </w:r>
                    <w:r>
                      <w:rPr>
                        <w:rStyle w:val="PageNumber"/>
                        <w:rFonts w:cs="Arial"/>
                        <w:color w:val="000000"/>
                      </w:rPr>
                      <w:fldChar w:fldCharType="separate"/>
                    </w:r>
                    <w:r>
                      <w:rPr>
                        <w:rStyle w:val="PageNumber"/>
                        <w:rFonts w:cs="Arial"/>
                        <w:color w:val="000000"/>
                      </w:rPr>
                      <w:t>0</w:t>
                    </w:r>
                    <w:r>
                      <w:rPr>
                        <w:rStyle w:val="PageNumber"/>
                        <w:rFonts w:cs="Arial"/>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Standaard8"/>
    <w:r>
      <w:rPr/>
      <w:fldChar w:fldCharType="begin"/>
    </w:r>
    <w:r>
      <w:rPr/>
      <w:instrText xml:space="preserve"> PAGE </w:instrText>
    </w:r>
    <w:r>
      <w:rPr/>
      <w:fldChar w:fldCharType="separate"/>
    </w:r>
    <w:r>
      <w:rPr/>
      <w:t>8</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1" w:name="PageNumWizard_FOOTER_Standaard8"/>
    <w:r>
      <w:rPr/>
      <w:fldChar w:fldCharType="begin"/>
    </w:r>
    <w:r>
      <w:rPr/>
      <w:instrText xml:space="preserve"> PAGE </w:instrText>
    </w:r>
    <w:r>
      <w:rPr/>
      <w:fldChar w:fldCharType="separate"/>
    </w:r>
    <w:r>
      <w:rPr/>
      <w:t>8</w:t>
    </w:r>
    <w:r>
      <w:rPr/>
      <w:fldChar w:fldCharType="end"/>
    </w:r>
    <w:bookmarkEnd w:id="1"/>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230"/>
        </w:tabs>
        <w:ind w:left="1230" w:hanging="360"/>
      </w:pPr>
      <w:rPr>
        <w:rFonts w:ascii="Symbol" w:hAnsi="Symbol" w:cs="Symbol" w:hint="default"/>
      </w:rPr>
    </w:lvl>
    <w:lvl w:ilvl="1">
      <w:start w:val="1"/>
      <w:numFmt w:val="bullet"/>
      <w:lvlText w:val="o"/>
      <w:lvlJc w:val="left"/>
      <w:pPr>
        <w:tabs>
          <w:tab w:val="num" w:pos="1950"/>
        </w:tabs>
        <w:ind w:left="1950" w:hanging="360"/>
      </w:pPr>
      <w:rPr>
        <w:rFonts w:ascii="Courier New" w:hAnsi="Courier New" w:cs="Courier New" w:hint="default"/>
      </w:rPr>
    </w:lvl>
    <w:lvl w:ilvl="2">
      <w:start w:val="1"/>
      <w:numFmt w:val="bullet"/>
      <w:lvlText w:val=""/>
      <w:lvlJc w:val="left"/>
      <w:pPr>
        <w:tabs>
          <w:tab w:val="num" w:pos="2670"/>
        </w:tabs>
        <w:ind w:left="2670" w:hanging="360"/>
      </w:pPr>
      <w:rPr>
        <w:rFonts w:ascii="Wingdings" w:hAnsi="Wingdings" w:cs="Wingdings" w:hint="default"/>
      </w:rPr>
    </w:lvl>
    <w:lvl w:ilvl="3">
      <w:start w:val="1"/>
      <w:numFmt w:val="bullet"/>
      <w:lvlText w:val=""/>
      <w:lvlJc w:val="left"/>
      <w:pPr>
        <w:tabs>
          <w:tab w:val="num" w:pos="3390"/>
        </w:tabs>
        <w:ind w:left="3390" w:hanging="360"/>
      </w:pPr>
      <w:rPr>
        <w:rFonts w:ascii="Symbol" w:hAnsi="Symbol" w:cs="Symbol" w:hint="default"/>
      </w:rPr>
    </w:lvl>
    <w:lvl w:ilvl="4">
      <w:start w:val="1"/>
      <w:numFmt w:val="bullet"/>
      <w:lvlText w:val="o"/>
      <w:lvlJc w:val="left"/>
      <w:pPr>
        <w:tabs>
          <w:tab w:val="num" w:pos="4110"/>
        </w:tabs>
        <w:ind w:left="4110" w:hanging="360"/>
      </w:pPr>
      <w:rPr>
        <w:rFonts w:ascii="Courier New" w:hAnsi="Courier New" w:cs="Courier New" w:hint="default"/>
      </w:rPr>
    </w:lvl>
    <w:lvl w:ilvl="5">
      <w:start w:val="1"/>
      <w:numFmt w:val="bullet"/>
      <w:lvlText w:val=""/>
      <w:lvlJc w:val="left"/>
      <w:pPr>
        <w:tabs>
          <w:tab w:val="num" w:pos="4830"/>
        </w:tabs>
        <w:ind w:left="4830" w:hanging="360"/>
      </w:pPr>
      <w:rPr>
        <w:rFonts w:ascii="Wingdings" w:hAnsi="Wingdings" w:cs="Wingdings" w:hint="default"/>
      </w:rPr>
    </w:lvl>
    <w:lvl w:ilvl="6">
      <w:start w:val="1"/>
      <w:numFmt w:val="bullet"/>
      <w:lvlText w:val=""/>
      <w:lvlJc w:val="left"/>
      <w:pPr>
        <w:tabs>
          <w:tab w:val="num" w:pos="5550"/>
        </w:tabs>
        <w:ind w:left="5550" w:hanging="360"/>
      </w:pPr>
      <w:rPr>
        <w:rFonts w:ascii="Symbol" w:hAnsi="Symbol" w:cs="Symbol" w:hint="default"/>
      </w:rPr>
    </w:lvl>
    <w:lvl w:ilvl="7">
      <w:start w:val="1"/>
      <w:numFmt w:val="bullet"/>
      <w:lvlText w:val="o"/>
      <w:lvlJc w:val="left"/>
      <w:pPr>
        <w:tabs>
          <w:tab w:val="num" w:pos="6270"/>
        </w:tabs>
        <w:ind w:left="6270" w:hanging="360"/>
      </w:pPr>
      <w:rPr>
        <w:rFonts w:ascii="Courier New" w:hAnsi="Courier New" w:cs="Courier New" w:hint="default"/>
      </w:rPr>
    </w:lvl>
    <w:lvl w:ilvl="8">
      <w:start w:val="1"/>
      <w:numFmt w:val="bullet"/>
      <w:lvlText w:val=""/>
      <w:lvlJc w:val="left"/>
      <w:pPr>
        <w:tabs>
          <w:tab w:val="num" w:pos="6990"/>
        </w:tabs>
        <w:ind w:left="6990" w:hanging="360"/>
      </w:pPr>
      <w:rPr>
        <w:rFonts w:ascii="Wingdings" w:hAnsi="Wingdings" w:cs="Wingdings" w:hint="default"/>
      </w:rPr>
    </w:lvl>
  </w:abstractNum>
  <w:abstractNum w:abstractNumId="2">
    <w:lvl w:ilvl="0">
      <w:start w:val="1"/>
      <w:numFmt w:val="bullet"/>
      <w:lvlText w:val=""/>
      <w:lvlJc w:val="left"/>
      <w:pPr>
        <w:tabs>
          <w:tab w:val="num" w:pos="1230"/>
        </w:tabs>
        <w:ind w:left="1230" w:hanging="360"/>
      </w:pPr>
      <w:rPr>
        <w:rFonts w:ascii="Symbol" w:hAnsi="Symbol" w:cs="Symbol" w:hint="default"/>
      </w:rPr>
    </w:lvl>
    <w:lvl w:ilvl="1">
      <w:start w:val="1"/>
      <w:numFmt w:val="bullet"/>
      <w:lvlText w:val="o"/>
      <w:lvlJc w:val="left"/>
      <w:pPr>
        <w:tabs>
          <w:tab w:val="num" w:pos="1950"/>
        </w:tabs>
        <w:ind w:left="1950" w:hanging="360"/>
      </w:pPr>
      <w:rPr>
        <w:rFonts w:ascii="Courier New" w:hAnsi="Courier New" w:cs="Courier New" w:hint="default"/>
      </w:rPr>
    </w:lvl>
    <w:lvl w:ilvl="2">
      <w:start w:val="1"/>
      <w:numFmt w:val="bullet"/>
      <w:lvlText w:val=""/>
      <w:lvlJc w:val="left"/>
      <w:pPr>
        <w:tabs>
          <w:tab w:val="num" w:pos="2670"/>
        </w:tabs>
        <w:ind w:left="2670" w:hanging="360"/>
      </w:pPr>
      <w:rPr>
        <w:rFonts w:ascii="Wingdings" w:hAnsi="Wingdings" w:cs="Wingdings" w:hint="default"/>
      </w:rPr>
    </w:lvl>
    <w:lvl w:ilvl="3">
      <w:start w:val="1"/>
      <w:numFmt w:val="bullet"/>
      <w:lvlText w:val=""/>
      <w:lvlJc w:val="left"/>
      <w:pPr>
        <w:tabs>
          <w:tab w:val="num" w:pos="3390"/>
        </w:tabs>
        <w:ind w:left="3390" w:hanging="360"/>
      </w:pPr>
      <w:rPr>
        <w:rFonts w:ascii="Symbol" w:hAnsi="Symbol" w:cs="Symbol" w:hint="default"/>
      </w:rPr>
    </w:lvl>
    <w:lvl w:ilvl="4">
      <w:start w:val="1"/>
      <w:numFmt w:val="bullet"/>
      <w:lvlText w:val="o"/>
      <w:lvlJc w:val="left"/>
      <w:pPr>
        <w:tabs>
          <w:tab w:val="num" w:pos="4110"/>
        </w:tabs>
        <w:ind w:left="4110" w:hanging="360"/>
      </w:pPr>
      <w:rPr>
        <w:rFonts w:ascii="Courier New" w:hAnsi="Courier New" w:cs="Courier New" w:hint="default"/>
      </w:rPr>
    </w:lvl>
    <w:lvl w:ilvl="5">
      <w:start w:val="1"/>
      <w:numFmt w:val="bullet"/>
      <w:lvlText w:val=""/>
      <w:lvlJc w:val="left"/>
      <w:pPr>
        <w:tabs>
          <w:tab w:val="num" w:pos="4830"/>
        </w:tabs>
        <w:ind w:left="4830" w:hanging="360"/>
      </w:pPr>
      <w:rPr>
        <w:rFonts w:ascii="Wingdings" w:hAnsi="Wingdings" w:cs="Wingdings" w:hint="default"/>
      </w:rPr>
    </w:lvl>
    <w:lvl w:ilvl="6">
      <w:start w:val="1"/>
      <w:numFmt w:val="bullet"/>
      <w:lvlText w:val=""/>
      <w:lvlJc w:val="left"/>
      <w:pPr>
        <w:tabs>
          <w:tab w:val="num" w:pos="5550"/>
        </w:tabs>
        <w:ind w:left="5550" w:hanging="360"/>
      </w:pPr>
      <w:rPr>
        <w:rFonts w:ascii="Symbol" w:hAnsi="Symbol" w:cs="Symbol" w:hint="default"/>
      </w:rPr>
    </w:lvl>
    <w:lvl w:ilvl="7">
      <w:start w:val="1"/>
      <w:numFmt w:val="bullet"/>
      <w:lvlText w:val="o"/>
      <w:lvlJc w:val="left"/>
      <w:pPr>
        <w:tabs>
          <w:tab w:val="num" w:pos="6270"/>
        </w:tabs>
        <w:ind w:left="6270" w:hanging="360"/>
      </w:pPr>
      <w:rPr>
        <w:rFonts w:ascii="Courier New" w:hAnsi="Courier New" w:cs="Courier New" w:hint="default"/>
      </w:rPr>
    </w:lvl>
    <w:lvl w:ilvl="8">
      <w:start w:val="1"/>
      <w:numFmt w:val="bullet"/>
      <w:lvlText w:val=""/>
      <w:lvlJc w:val="left"/>
      <w:pPr>
        <w:tabs>
          <w:tab w:val="num" w:pos="6990"/>
        </w:tabs>
        <w:ind w:left="699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bering>
</file>

<file path=word/settings.xml><?xml version="1.0" encoding="utf-8"?>
<w:settings xmlns:w="http://schemas.openxmlformats.org/wordprocessingml/2006/main">
  <w:zoom w:percent="15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nl-NL" w:eastAsia="nl-NL"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31ca"/>
    <w:pPr>
      <w:widowControl/>
      <w:suppressAutoHyphens w:val="true"/>
      <w:bidi w:val="0"/>
      <w:spacing w:before="0" w:after="0"/>
      <w:jc w:val="left"/>
    </w:pPr>
    <w:rPr>
      <w:rFonts w:ascii="Arial" w:hAnsi="Arial" w:eastAsia="Times New Roman" w:cs="Arial"/>
      <w:color w:val="auto"/>
      <w:kern w:val="0"/>
      <w:sz w:val="22"/>
      <w:szCs w:val="22"/>
      <w:lang w:val="nl-NL" w:eastAsia="ar-SA" w:bidi="ar-SA"/>
    </w:rPr>
  </w:style>
  <w:style w:type="paragraph" w:styleId="Heading1">
    <w:name w:val="heading 1"/>
    <w:basedOn w:val="Kopuser"/>
    <w:qFormat/>
    <w:pPr>
      <w:numPr>
        <w:ilvl w:val="0"/>
        <w:numId w:val="0"/>
      </w:numPr>
      <w:spacing w:before="260" w:after="130"/>
      <w:outlineLvl w:val="0"/>
    </w:pPr>
    <w:rPr>
      <w:rFonts w:ascii="Arial" w:hAnsi="Arial" w:eastAsia="Arial" w:cs="Arial"/>
      <w:b/>
      <w:bCs/>
      <w:color w:val="1F3864"/>
      <w:sz w:val="30"/>
      <w:szCs w:val="30"/>
    </w:rPr>
  </w:style>
  <w:style w:type="paragraph" w:styleId="Heading2">
    <w:name w:val="heading 2"/>
    <w:basedOn w:val="Kopuser"/>
    <w:qFormat/>
    <w:pPr>
      <w:numPr>
        <w:ilvl w:val="0"/>
        <w:numId w:val="0"/>
      </w:numPr>
      <w:spacing w:before="220" w:after="110"/>
      <w:outlineLvl w:val="1"/>
    </w:pPr>
    <w:rPr>
      <w:rFonts w:ascii="Arial" w:hAnsi="Arial" w:eastAsia="Arial" w:cs="Arial"/>
      <w:b/>
      <w:bCs/>
      <w:color w:val="2E5395"/>
      <w:sz w:val="25"/>
      <w:szCs w:val="25"/>
    </w:rPr>
  </w:style>
  <w:style w:type="paragraph" w:styleId="Heading3">
    <w:name w:val="heading 3"/>
    <w:basedOn w:val="Kopuser"/>
    <w:qFormat/>
    <w:pPr>
      <w:numPr>
        <w:ilvl w:val="0"/>
        <w:numId w:val="0"/>
      </w:numPr>
      <w:spacing w:before="160" w:after="80"/>
      <w:outlineLvl w:val="2"/>
    </w:pPr>
    <w:rPr>
      <w:rFonts w:ascii="Arial" w:hAnsi="Arial" w:eastAsia="Arial" w:cs="Arial"/>
      <w:b/>
      <w:bCs/>
      <w:color w:val="2E5395"/>
      <w:sz w:val="22"/>
      <w:szCs w:val="22"/>
    </w:rPr>
  </w:style>
  <w:style w:type="paragraph" w:styleId="Heading4">
    <w:name w:val="heading 4"/>
    <w:basedOn w:val="Kopuser"/>
    <w:qFormat/>
    <w:pPr/>
    <w:rPr>
      <w:i/>
      <w:iCs/>
      <w:color w:val="2E74B5"/>
    </w:rPr>
  </w:style>
  <w:style w:type="paragraph" w:styleId="Heading5">
    <w:name w:val="heading 5"/>
    <w:basedOn w:val="Kopuser"/>
    <w:qFormat/>
    <w:pPr/>
    <w:rPr>
      <w:color w:val="2E74B5"/>
    </w:rPr>
  </w:style>
  <w:style w:type="paragraph" w:styleId="Heading6">
    <w:name w:val="heading 6"/>
    <w:basedOn w:val="Kopuser"/>
    <w:qFormat/>
    <w:pPr/>
    <w:rPr>
      <w:color w:val="1F4D78"/>
    </w:rPr>
  </w:style>
  <w:style w:type="character" w:styleId="DefaultParagraphFont" w:default="1">
    <w:name w:val="Default Paragraph Font"/>
    <w:uiPriority w:val="1"/>
    <w:semiHidden/>
    <w:unhideWhenUsed/>
    <w:qFormat/>
    <w:rPr/>
  </w:style>
  <w:style w:type="character" w:styleId="FootnoteCharacters">
    <w:name w:val="Footnote Characters"/>
    <w:basedOn w:val="DefaultParagraphFont"/>
    <w:uiPriority w:val="99"/>
    <w:semiHidden/>
    <w:qFormat/>
    <w:rsid w:val="004331ca"/>
    <w:rPr>
      <w:rFonts w:cs="Times New Roman"/>
      <w:vertAlign w:val="superscript"/>
    </w:rPr>
  </w:style>
  <w:style w:type="character" w:styleId="FootnoteReference">
    <w:name w:val="footnote reference"/>
    <w:qFormat/>
    <w:rPr>
      <w:rFonts w:cs="Times New Roman"/>
      <w:vertAlign w:val="superscript"/>
    </w:rPr>
  </w:style>
  <w:style w:type="character" w:styleId="VoettekstChar" w:customStyle="1">
    <w:name w:val="Voettekst Char"/>
    <w:basedOn w:val="DefaultParagraphFont"/>
    <w:uiPriority w:val="99"/>
    <w:semiHidden/>
    <w:qFormat/>
    <w:rsid w:val="00f64d4e"/>
    <w:rPr>
      <w:rFonts w:ascii="Arial" w:hAnsi="Arial" w:cs="Arial"/>
      <w:lang w:eastAsia="ar-SA"/>
    </w:rPr>
  </w:style>
  <w:style w:type="character" w:styleId="VoetnoottekstChar" w:customStyle="1">
    <w:name w:val="Voetnoottekst Char"/>
    <w:basedOn w:val="DefaultParagraphFont"/>
    <w:uiPriority w:val="99"/>
    <w:semiHidden/>
    <w:qFormat/>
    <w:rsid w:val="00f64d4e"/>
    <w:rPr>
      <w:rFonts w:ascii="Arial" w:hAnsi="Arial" w:cs="Arial"/>
      <w:sz w:val="20"/>
      <w:szCs w:val="20"/>
      <w:lang w:eastAsia="ar-SA"/>
    </w:rPr>
  </w:style>
  <w:style w:type="character" w:styleId="Strong">
    <w:name w:val="Strong"/>
    <w:basedOn w:val="DefaultParagraphFont"/>
    <w:uiPriority w:val="22"/>
    <w:qFormat/>
    <w:rsid w:val="00ac7410"/>
    <w:rPr>
      <w:rFonts w:cs="Times New Roman"/>
      <w:b/>
    </w:rPr>
  </w:style>
  <w:style w:type="character" w:styleId="KoptekstChar" w:customStyle="1">
    <w:name w:val="Koptekst Char"/>
    <w:basedOn w:val="DefaultParagraphFont"/>
    <w:uiPriority w:val="99"/>
    <w:semiHidden/>
    <w:qFormat/>
    <w:rsid w:val="00f64d4e"/>
    <w:rPr>
      <w:rFonts w:ascii="Arial" w:hAnsi="Arial" w:cs="Arial"/>
      <w:lang w:eastAsia="ar-SA"/>
    </w:rPr>
  </w:style>
  <w:style w:type="character" w:styleId="PageNumber">
    <w:name w:val="page number"/>
    <w:basedOn w:val="DefaultParagraphFont"/>
    <w:uiPriority w:val="99"/>
    <w:qFormat/>
    <w:rsid w:val="00970449"/>
    <w:rPr>
      <w:rFonts w:cs="Times New Roman"/>
    </w:rPr>
  </w:style>
  <w:style w:type="character" w:styleId="BallontekstChar" w:customStyle="1">
    <w:name w:val="Ballontekst Char"/>
    <w:basedOn w:val="DefaultParagraphFont"/>
    <w:link w:val="BalloonText"/>
    <w:uiPriority w:val="99"/>
    <w:semiHidden/>
    <w:qFormat/>
    <w:rsid w:val="00f64d4e"/>
    <w:rPr>
      <w:rFonts w:cs="Arial"/>
      <w:sz w:val="0"/>
      <w:szCs w:val="0"/>
      <w:lang w:eastAsia="ar-SA"/>
    </w:rPr>
  </w:style>
  <w:style w:type="character" w:styleId="CommentReference">
    <w:name w:val="annotation reference"/>
    <w:basedOn w:val="DefaultParagraphFont"/>
    <w:uiPriority w:val="99"/>
    <w:semiHidden/>
    <w:qFormat/>
    <w:rsid w:val="0081043b"/>
    <w:rPr>
      <w:rFonts w:cs="Times New Roman"/>
      <w:sz w:val="16"/>
    </w:rPr>
  </w:style>
  <w:style w:type="character" w:styleId="TekstopmerkingChar" w:customStyle="1">
    <w:name w:val="Tekst opmerking Char"/>
    <w:basedOn w:val="DefaultParagraphFont"/>
    <w:uiPriority w:val="99"/>
    <w:semiHidden/>
    <w:qFormat/>
    <w:rsid w:val="00f64d4e"/>
    <w:rPr>
      <w:rFonts w:ascii="Arial" w:hAnsi="Arial" w:cs="Arial"/>
      <w:sz w:val="20"/>
      <w:szCs w:val="20"/>
      <w:lang w:eastAsia="ar-SA"/>
    </w:rPr>
  </w:style>
  <w:style w:type="character" w:styleId="OnderwerpvanopmerkingChar" w:customStyle="1">
    <w:name w:val="Onderwerp van opmerking Char"/>
    <w:basedOn w:val="TekstopmerkingChar"/>
    <w:link w:val="annotationsubject"/>
    <w:uiPriority w:val="99"/>
    <w:semiHidden/>
    <w:qFormat/>
    <w:rsid w:val="00f64d4e"/>
    <w:rPr>
      <w:rFonts w:ascii="Arial" w:hAnsi="Arial" w:cs="Arial"/>
      <w:b/>
      <w:bCs/>
      <w:sz w:val="20"/>
      <w:szCs w:val="20"/>
      <w:lang w:eastAsia="ar-SA"/>
    </w:rPr>
  </w:style>
  <w:style w:type="character" w:styleId="Hyperlink">
    <w:name w:val="Hyperlink"/>
    <w:uiPriority w:val="99"/>
    <w:qFormat/>
    <w:rsid w:val="00831b7d"/>
    <w:rPr>
      <w:color w:val="0563C1"/>
      <w:u w:val="single"/>
    </w:rPr>
  </w:style>
  <w:style w:type="character" w:styleId="Voetnoottekens">
    <w:name w:val="Voetnoottekens"/>
    <w:qFormat/>
    <w:rPr>
      <w:vertAlign w:val="superscript"/>
    </w:rPr>
  </w:style>
  <w:style w:type="character" w:styleId="EndnoteReference">
    <w:name w:val="endnote reference"/>
    <w:qFormat/>
    <w:rPr>
      <w:vertAlign w:val="superscript"/>
    </w:rPr>
  </w:style>
  <w:style w:type="character" w:styleId="Eindnoottekens">
    <w:name w:val="Eindnoottekens"/>
    <w:qFormat/>
    <w:rPr>
      <w:vertAlign w:val="superscript"/>
    </w:rPr>
  </w:style>
  <w:style w:type="character" w:styleId="Voetnoottekensuser">
    <w:name w:val="Voetnoottekens (user)"/>
    <w:qFormat/>
    <w:rPr/>
  </w:style>
  <w:style w:type="character" w:styleId="EndnoteTextChar">
    <w:name w:val="Endnote Text Char"/>
    <w:qFormat/>
    <w:rPr>
      <w:sz w:val="20"/>
      <w:szCs w:val="20"/>
    </w:rPr>
  </w:style>
  <w:style w:type="character" w:styleId="Eindnoottekensuser">
    <w:name w:val="Eindnoottekens (user)"/>
    <w:qFormat/>
    <w:rPr>
      <w:vertAlign w:val="superscript"/>
    </w:rPr>
  </w:style>
  <w:style w:type="character" w:styleId="FootnoteTextChar">
    <w:name w:val="Footnote Text Char"/>
    <w:qFormat/>
    <w:rPr>
      <w:sz w:val="20"/>
      <w:szCs w:val="20"/>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Kopuser">
    <w:name w:val="Kop (user)"/>
    <w:basedOn w:val="Normal"/>
    <w:next w:val="BodyText"/>
    <w:qFormat/>
    <w:pPr>
      <w:keepNext w:val="true"/>
      <w:spacing w:before="240" w:after="120"/>
    </w:pPr>
    <w:rPr>
      <w:rFonts w:ascii="Liberation Sans" w:hAnsi="Liberation Sans" w:eastAsia="Microsoft YaHei" w:cs="Lucida Sans"/>
      <w:sz w:val="28"/>
      <w:szCs w:val="28"/>
    </w:rPr>
  </w:style>
  <w:style w:type="paragraph" w:styleId="Kop-envoettekst">
    <w:name w:val="Kop- en voettekst"/>
    <w:basedOn w:val="Normal"/>
    <w:qFormat/>
    <w:pPr/>
    <w:rPr/>
  </w:style>
  <w:style w:type="paragraph" w:styleId="Koptekstenvoettekstuser">
    <w:name w:val="Koptekst en voettekst (user)"/>
    <w:basedOn w:val="Normal"/>
    <w:qFormat/>
    <w:pPr/>
    <w:rPr/>
  </w:style>
  <w:style w:type="paragraph" w:styleId="Koptekstenvoettekst">
    <w:name w:val="Koptekst en voettekst"/>
    <w:basedOn w:val="Normal"/>
    <w:qFormat/>
    <w:pPr/>
    <w:rPr/>
  </w:style>
  <w:style w:type="paragraph" w:styleId="Footer">
    <w:name w:val="footer"/>
    <w:basedOn w:val="Normal"/>
    <w:link w:val="VoettekstChar"/>
    <w:uiPriority w:val="99"/>
    <w:rsid w:val="004331ca"/>
    <w:pPr>
      <w:tabs>
        <w:tab w:val="clear" w:pos="708"/>
        <w:tab w:val="center" w:pos="4536" w:leader="none"/>
        <w:tab w:val="right" w:pos="9072" w:leader="none"/>
      </w:tabs>
    </w:pPr>
    <w:rPr/>
  </w:style>
  <w:style w:type="paragraph" w:styleId="FootnoteText">
    <w:name w:val="footnote text"/>
    <w:basedOn w:val="Normal"/>
    <w:link w:val="VoetnoottekstChar"/>
    <w:uiPriority w:val="99"/>
    <w:semiHidden/>
    <w:rsid w:val="004331ca"/>
    <w:pPr>
      <w:suppressLineNumbers/>
      <w:ind w:hanging="283" w:left="283"/>
    </w:pPr>
    <w:rPr>
      <w:sz w:val="20"/>
      <w:szCs w:val="20"/>
    </w:rPr>
  </w:style>
  <w:style w:type="paragraph" w:styleId="Header">
    <w:name w:val="header"/>
    <w:basedOn w:val="Normal"/>
    <w:link w:val="KoptekstChar"/>
    <w:uiPriority w:val="99"/>
    <w:rsid w:val="00970449"/>
    <w:pPr>
      <w:tabs>
        <w:tab w:val="clear" w:pos="708"/>
        <w:tab w:val="center" w:pos="4536" w:leader="none"/>
        <w:tab w:val="right" w:pos="9072" w:leader="none"/>
      </w:tabs>
    </w:pPr>
    <w:rPr/>
  </w:style>
  <w:style w:type="paragraph" w:styleId="BalloonText">
    <w:name w:val="Balloon Text"/>
    <w:basedOn w:val="Normal"/>
    <w:link w:val="BallontekstChar"/>
    <w:uiPriority w:val="99"/>
    <w:semiHidden/>
    <w:qFormat/>
    <w:rsid w:val="00e935fa"/>
    <w:pPr/>
    <w:rPr>
      <w:rFonts w:ascii="Tahoma" w:hAnsi="Tahoma" w:cs="Tahoma"/>
      <w:sz w:val="16"/>
      <w:szCs w:val="16"/>
    </w:rPr>
  </w:style>
  <w:style w:type="paragraph" w:styleId="CommentText">
    <w:name w:val="annotation text"/>
    <w:basedOn w:val="Normal"/>
    <w:link w:val="TekstopmerkingChar"/>
    <w:uiPriority w:val="99"/>
    <w:semiHidden/>
    <w:qFormat/>
    <w:rsid w:val="0081043b"/>
    <w:pPr/>
    <w:rPr>
      <w:sz w:val="20"/>
      <w:szCs w:val="20"/>
    </w:rPr>
  </w:style>
  <w:style w:type="paragraph" w:styleId="annotationsubject">
    <w:name w:val="annotation subject"/>
    <w:basedOn w:val="CommentText"/>
    <w:next w:val="CommentText"/>
    <w:link w:val="OnderwerpvanopmerkingChar"/>
    <w:uiPriority w:val="99"/>
    <w:semiHidden/>
    <w:qFormat/>
    <w:rsid w:val="0081043b"/>
    <w:pPr/>
    <w:rPr>
      <w:b/>
      <w:bCs/>
    </w:rPr>
  </w:style>
  <w:style w:type="paragraph" w:styleId="NormalWeb">
    <w:name w:val="Normal (Web)"/>
    <w:basedOn w:val="Normal"/>
    <w:uiPriority w:val="99"/>
    <w:unhideWhenUsed/>
    <w:qFormat/>
    <w:rsid w:val="00a50919"/>
    <w:pPr>
      <w:suppressAutoHyphens w:val="false"/>
      <w:spacing w:beforeAutospacing="1" w:afterAutospacing="1"/>
    </w:pPr>
    <w:rPr>
      <w:rFonts w:ascii="Times New Roman" w:hAnsi="Times New Roman" w:cs="Times New Roman"/>
      <w:sz w:val="24"/>
      <w:szCs w:val="24"/>
      <w:lang w:eastAsia="nl-NL"/>
    </w:rPr>
  </w:style>
  <w:style w:type="paragraph" w:styleId="ListParagraph">
    <w:name w:val="List Paragraph"/>
    <w:basedOn w:val="Normal"/>
    <w:uiPriority w:val="34"/>
    <w:qFormat/>
    <w:rsid w:val="00a50919"/>
    <w:pPr>
      <w:spacing w:before="0" w:after="0"/>
      <w:ind w:hanging="0" w:left="720"/>
      <w:contextualSpacing/>
    </w:pPr>
    <w:rPr/>
  </w:style>
  <w:style w:type="paragraph" w:styleId="Frame-inhoud">
    <w:name w:val="Frame-inhoud"/>
    <w:basedOn w:val="Normal"/>
    <w:qFormat/>
    <w:pPr/>
    <w:rPr/>
  </w:style>
  <w:style w:type="paragraph" w:styleId="Frame-inhouduser">
    <w:name w:val="Frame-inhoud (user)"/>
    <w:basedOn w:val="Normal"/>
    <w:qFormat/>
    <w:pPr/>
    <w:rPr/>
  </w:style>
  <w:style w:type="paragraph" w:styleId="EndnoteText">
    <w:name w:val="endnote text"/>
    <w:basedOn w:val="Normal"/>
    <w:pPr>
      <w:spacing w:lineRule="auto" w:line="240" w:before="0" w:after="0"/>
    </w:pPr>
    <w:rPr>
      <w:sz w:val="20"/>
      <w:szCs w:val="20"/>
    </w:rPr>
  </w:style>
  <w:style w:type="paragraph" w:styleId="StrongEmphasis">
    <w:name w:val="Strong Emphasis"/>
    <w:qFormat/>
    <w:pPr>
      <w:widowControl/>
      <w:suppressAutoHyphens w:val="true"/>
      <w:bidi w:val="0"/>
      <w:spacing w:before="0" w:after="0"/>
      <w:jc w:val="left"/>
    </w:pPr>
    <w:rPr>
      <w:rFonts w:ascii="Times New Roman" w:hAnsi="Times New Roman" w:eastAsia="Times New Roman" w:cs="Times New Roman"/>
      <w:b/>
      <w:bCs/>
      <w:color w:val="auto"/>
      <w:kern w:val="0"/>
      <w:sz w:val="22"/>
      <w:szCs w:val="22"/>
      <w:lang w:val="nl-NL" w:eastAsia="nl-NL" w:bidi="ar-SA"/>
    </w:rPr>
  </w:style>
  <w:style w:type="paragraph" w:styleId="Title">
    <w:name w:val="Title"/>
    <w:basedOn w:val="Kopuser"/>
    <w:qFormat/>
    <w:pPr/>
    <w:rPr>
      <w:sz w:val="56"/>
      <w:szCs w:val="56"/>
    </w:rPr>
  </w:style>
  <w:style w:type="paragraph" w:styleId="Inhoudtabeluser">
    <w:name w:val="Inhoud tabel (user)"/>
    <w:basedOn w:val="Normal"/>
    <w:qFormat/>
    <w:pPr>
      <w:widowControl w:val="false"/>
      <w:suppressLineNumbers/>
    </w:pPr>
    <w:rPr/>
  </w:style>
  <w:style w:type="numbering" w:styleId="Geenlijstuser" w:default="1">
    <w:name w:val="Geen lijst (user)"/>
    <w:uiPriority w:val="99"/>
    <w:semiHidden/>
    <w:unhideWhenUsed/>
    <w:qFormat/>
  </w:style>
  <w:style w:type="numbering" w:styleId="OutlineList2">
    <w:name w:val="Outline List 2"/>
    <w:uiPriority w:val="99"/>
    <w:semiHidden/>
    <w:unhideWhenUsed/>
    <w:qFormat/>
    <w:rsid w:val="00f64d4e"/>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285</TotalTime>
  <Application>LibreOffice/25.2.4.3$Windows_X86_64 LibreOffice_project/33e196637044ead23f5c3226cde09b47731f7e27</Application>
  <AppVersion>15.0000</AppVersion>
  <Pages>8</Pages>
  <Words>3594</Words>
  <Characters>23078</Characters>
  <CharactersWithSpaces>26475</CharactersWithSpaces>
  <Paragraphs>171</Paragraphs>
  <Company>GGZ BuitenAmstel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2022-07-29T12:10:00Z</dcterms:created>
  <dc:creator>Administrator</dc:creator>
  <dc:description/>
  <dc:language>nl-NL</dc:language>
  <cp:lastModifiedBy/>
  <cp:lastPrinted>2022-08-01T09:13:00Z</cp:lastPrinted>
  <dcterms:modified xsi:type="dcterms:W3CDTF">2026-06-17T15:00:16Z</dcterms:modified>
  <cp:revision>12</cp:revision>
  <dc:subject/>
  <dc:title>Nr</dc:title>
</cp:coreProperties>
</file>

<file path=docProps/custom.xml><?xml version="1.0" encoding="utf-8"?>
<Properties xmlns="http://schemas.openxmlformats.org/officeDocument/2006/custom-properties" xmlns:vt="http://schemas.openxmlformats.org/officeDocument/2006/docPropsVTypes"/>
</file>